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564A30" w:rsidP="000D1183">
      <w:pPr>
        <w:rPr>
          <w:lang w:val="es-SV"/>
        </w:rPr>
      </w:pPr>
      <w:r>
        <w:rPr>
          <w:noProof/>
          <w:lang w:val="es-SV" w:eastAsia="es-SV"/>
        </w:rPr>
        <w:pict>
          <v:roundrect id="_x0000_s1026" style="position:absolute;margin-left:-27.45pt;margin-top:8.4pt;width:493.55pt;height:67pt;z-index:251658240" arcsize="10923f">
            <v:textbox style="mso-next-textbox:#_x0000_s1026">
              <w:txbxContent>
                <w:p w:rsidR="00291AF1" w:rsidRPr="00CF399E" w:rsidRDefault="00291AF1" w:rsidP="00291AF1">
                  <w:pPr>
                    <w:spacing w:after="0" w:line="240" w:lineRule="auto"/>
                    <w:rPr>
                      <w:b/>
                      <w:lang w:val="es-SV"/>
                    </w:rPr>
                  </w:pPr>
                  <w:r w:rsidRPr="00CF399E">
                    <w:rPr>
                      <w:b/>
                      <w:lang w:val="es-SV"/>
                    </w:rPr>
                    <w:t>Tipo de Trámite:</w:t>
                  </w:r>
                  <w:r w:rsidRPr="00CF399E">
                    <w:t xml:space="preserve"> </w:t>
                  </w:r>
                  <w:r w:rsidR="008D23D1">
                    <w:tab/>
                  </w:r>
                  <w:r w:rsidR="008D23D1">
                    <w:tab/>
                  </w:r>
                  <w:r w:rsidRPr="00CF399E">
                    <w:rPr>
                      <w:b/>
                      <w:lang w:val="es-SV"/>
                    </w:rPr>
                    <w:t xml:space="preserve">Autorización de </w:t>
                  </w:r>
                  <w:r>
                    <w:rPr>
                      <w:b/>
                      <w:lang w:val="es-SV"/>
                    </w:rPr>
                    <w:t>i</w:t>
                  </w:r>
                  <w:r w:rsidRPr="00CF399E">
                    <w:rPr>
                      <w:b/>
                      <w:lang w:val="es-SV"/>
                    </w:rPr>
                    <w:t xml:space="preserve">nversiones </w:t>
                  </w:r>
                  <w:r>
                    <w:rPr>
                      <w:b/>
                      <w:lang w:val="es-SV"/>
                    </w:rPr>
                    <w:t>c</w:t>
                  </w:r>
                  <w:r w:rsidRPr="00CF399E">
                    <w:rPr>
                      <w:b/>
                      <w:lang w:val="es-SV"/>
                    </w:rPr>
                    <w:t>onjuntas</w:t>
                  </w:r>
                  <w:r>
                    <w:rPr>
                      <w:b/>
                      <w:lang w:val="es-SV"/>
                    </w:rPr>
                    <w:t>.</w:t>
                  </w:r>
                </w:p>
                <w:p w:rsidR="00291AF1" w:rsidRPr="00CF399E" w:rsidRDefault="00291AF1" w:rsidP="00291AF1">
                  <w:pPr>
                    <w:spacing w:after="0" w:line="240" w:lineRule="auto"/>
                    <w:jc w:val="both"/>
                    <w:rPr>
                      <w:bCs/>
                      <w:iCs/>
                    </w:rPr>
                  </w:pPr>
                  <w:r w:rsidRPr="00CF399E">
                    <w:rPr>
                      <w:lang w:val="es-SV"/>
                    </w:rPr>
                    <w:t xml:space="preserve">Subsistemas a que aplica:           </w:t>
                  </w:r>
                  <w:r w:rsidRPr="001717D4">
                    <w:rPr>
                      <w:bCs/>
                      <w:iCs/>
                    </w:rPr>
                    <w:t>Bancos, B</w:t>
                  </w:r>
                  <w:r w:rsidRPr="00CF399E">
                    <w:rPr>
                      <w:bCs/>
                      <w:iCs/>
                    </w:rPr>
                    <w:t>ancos Cooperativos y Sociedades de Ahorro y Crédito</w:t>
                  </w:r>
                </w:p>
                <w:p w:rsidR="00291AF1" w:rsidRPr="00CF399E" w:rsidRDefault="00291AF1" w:rsidP="00291AF1">
                  <w:pPr>
                    <w:spacing w:after="0" w:line="240" w:lineRule="auto"/>
                    <w:rPr>
                      <w:lang w:val="es-SV"/>
                    </w:rPr>
                  </w:pPr>
                  <w:r w:rsidRPr="00CF399E">
                    <w:rPr>
                      <w:lang w:val="es-SV"/>
                    </w:rPr>
                    <w:t xml:space="preserve">Fecha de creación:             </w:t>
                  </w:r>
                  <w:r>
                    <w:rPr>
                      <w:lang w:val="es-SV"/>
                    </w:rPr>
                    <w:t xml:space="preserve">           09</w:t>
                  </w:r>
                  <w:r w:rsidRPr="00CF399E">
                    <w:rPr>
                      <w:lang w:val="es-SV"/>
                    </w:rPr>
                    <w:t>/</w:t>
                  </w:r>
                  <w:r>
                    <w:rPr>
                      <w:lang w:val="es-SV"/>
                    </w:rPr>
                    <w:t>1</w:t>
                  </w:r>
                  <w:r w:rsidRPr="00CF399E">
                    <w:rPr>
                      <w:lang w:val="es-SV"/>
                    </w:rPr>
                    <w:t>0/2014</w:t>
                  </w:r>
                </w:p>
                <w:p w:rsidR="00F44953" w:rsidRPr="000D1183" w:rsidRDefault="00F44953" w:rsidP="00DA2889">
                  <w:pPr>
                    <w:spacing w:after="0" w:line="240" w:lineRule="auto"/>
                    <w:rPr>
                      <w:lang w:val="es-SV"/>
                    </w:rPr>
                  </w:pPr>
                  <w:r>
                    <w:rPr>
                      <w:lang w:val="es-SV"/>
                    </w:rPr>
                    <w:t xml:space="preserve">Fecha de última </w:t>
                  </w:r>
                  <w:r w:rsidR="00A008DB">
                    <w:rPr>
                      <w:lang w:val="es-SV"/>
                    </w:rPr>
                    <w:t>actualización:</w:t>
                  </w:r>
                  <w:r w:rsidR="00A008DB">
                    <w:rPr>
                      <w:lang w:val="es-SV"/>
                    </w:rPr>
                    <w:tab/>
                    <w:t xml:space="preserve">30/06/2016, sin modificación </w:t>
                  </w:r>
                  <w:r w:rsidR="008D23D1">
                    <w:rPr>
                      <w:lang w:val="es-SV"/>
                    </w:rPr>
                    <w:t>a la versión de fecha</w:t>
                  </w:r>
                  <w:r w:rsidR="00A008DB">
                    <w:rPr>
                      <w:lang w:val="es-SV"/>
                    </w:rPr>
                    <w:t xml:space="preserve"> </w:t>
                  </w:r>
                  <w:r w:rsidR="00291AF1">
                    <w:rPr>
                      <w:lang w:val="es-SV"/>
                    </w:rPr>
                    <w:t>09</w:t>
                  </w:r>
                  <w:r w:rsidR="00A008DB">
                    <w:rPr>
                      <w:lang w:val="es-SV"/>
                    </w:rPr>
                    <w:t>/</w:t>
                  </w:r>
                  <w:r w:rsidR="00291AF1">
                    <w:rPr>
                      <w:lang w:val="es-SV"/>
                    </w:rPr>
                    <w:t>10</w:t>
                  </w:r>
                  <w:r w:rsidR="00A008DB">
                    <w:rPr>
                      <w:lang w:val="es-SV"/>
                    </w:rPr>
                    <w:t>/201</w:t>
                  </w:r>
                  <w:r w:rsidR="004F388B">
                    <w:rPr>
                      <w:lang w:val="es-SV"/>
                    </w:rPr>
                    <w:t>4</w:t>
                  </w:r>
                </w:p>
              </w:txbxContent>
            </v:textbox>
          </v:roundrect>
        </w:pict>
      </w:r>
    </w:p>
    <w:p w:rsidR="00C538DA" w:rsidRDefault="00C538DA" w:rsidP="000D1183">
      <w:pPr>
        <w:rPr>
          <w:lang w:val="es-SV"/>
        </w:rPr>
      </w:pPr>
    </w:p>
    <w:p w:rsidR="00C538DA" w:rsidRDefault="00C538DA" w:rsidP="000D1183">
      <w:pPr>
        <w:rPr>
          <w:lang w:val="es-SV"/>
        </w:rPr>
      </w:pPr>
    </w:p>
    <w:p w:rsidR="00291AF1" w:rsidRDefault="00291AF1" w:rsidP="00291AF1">
      <w:pPr>
        <w:spacing w:after="0" w:line="240" w:lineRule="auto"/>
        <w:jc w:val="both"/>
        <w:rPr>
          <w:b/>
          <w:bCs/>
          <w:iCs/>
        </w:rPr>
      </w:pPr>
    </w:p>
    <w:p w:rsidR="00291AF1" w:rsidRDefault="00291AF1" w:rsidP="00291AF1">
      <w:pPr>
        <w:spacing w:after="0" w:line="240" w:lineRule="auto"/>
        <w:jc w:val="both"/>
        <w:rPr>
          <w:b/>
          <w:bCs/>
          <w:iCs/>
        </w:rPr>
      </w:pPr>
    </w:p>
    <w:p w:rsidR="00291AF1" w:rsidRPr="00CF399E" w:rsidRDefault="00291AF1" w:rsidP="00291AF1">
      <w:pPr>
        <w:spacing w:after="0" w:line="240" w:lineRule="auto"/>
        <w:jc w:val="both"/>
        <w:rPr>
          <w:b/>
          <w:bCs/>
          <w:iCs/>
        </w:rPr>
      </w:pPr>
      <w:r w:rsidRPr="00CF399E">
        <w:rPr>
          <w:b/>
          <w:bCs/>
          <w:iCs/>
        </w:rPr>
        <w:t>Sujetos a que aplica el trámite específico:</w:t>
      </w:r>
    </w:p>
    <w:p w:rsidR="00291AF1" w:rsidRPr="00CF399E" w:rsidRDefault="00291AF1" w:rsidP="00291AF1">
      <w:pPr>
        <w:spacing w:after="0" w:line="240" w:lineRule="auto"/>
        <w:jc w:val="both"/>
        <w:rPr>
          <w:bCs/>
          <w:iCs/>
        </w:rPr>
      </w:pPr>
      <w:r w:rsidRPr="00CF399E">
        <w:rPr>
          <w:bCs/>
          <w:iCs/>
        </w:rPr>
        <w:t>Bancos, Bancos Cooperativos y Sociedades de Ahorro y Crédito</w:t>
      </w:r>
    </w:p>
    <w:p w:rsidR="00291AF1" w:rsidRPr="00CF399E" w:rsidRDefault="00291AF1" w:rsidP="00291AF1">
      <w:pPr>
        <w:spacing w:after="0" w:line="240" w:lineRule="auto"/>
        <w:jc w:val="both"/>
        <w:rPr>
          <w:b/>
          <w:bCs/>
          <w:iCs/>
        </w:rPr>
      </w:pPr>
    </w:p>
    <w:p w:rsidR="00291AF1" w:rsidRPr="00CF399E" w:rsidRDefault="00291AF1" w:rsidP="00291AF1">
      <w:pPr>
        <w:spacing w:after="0" w:line="240" w:lineRule="auto"/>
        <w:jc w:val="both"/>
        <w:rPr>
          <w:b/>
          <w:bCs/>
          <w:iCs/>
        </w:rPr>
      </w:pPr>
      <w:r w:rsidRPr="00CF399E">
        <w:rPr>
          <w:b/>
          <w:bCs/>
          <w:iCs/>
        </w:rPr>
        <w:t xml:space="preserve">Base legal: </w:t>
      </w:r>
    </w:p>
    <w:p w:rsidR="00291AF1" w:rsidRPr="00CF399E" w:rsidRDefault="00291AF1" w:rsidP="00291AF1">
      <w:pPr>
        <w:spacing w:after="0" w:line="240" w:lineRule="auto"/>
        <w:jc w:val="both"/>
        <w:rPr>
          <w:iCs/>
        </w:rPr>
      </w:pPr>
    </w:p>
    <w:p w:rsidR="00291AF1" w:rsidRPr="00692CA5" w:rsidRDefault="00291AF1" w:rsidP="00291AF1">
      <w:pPr>
        <w:pStyle w:val="Prrafodelista"/>
        <w:numPr>
          <w:ilvl w:val="0"/>
          <w:numId w:val="12"/>
        </w:numPr>
        <w:spacing w:after="0" w:line="240" w:lineRule="auto"/>
        <w:jc w:val="both"/>
        <w:rPr>
          <w:iCs/>
        </w:rPr>
      </w:pPr>
      <w:r>
        <w:rPr>
          <w:iCs/>
        </w:rPr>
        <w:t>Ley de B</w:t>
      </w:r>
      <w:r w:rsidRPr="00692CA5">
        <w:rPr>
          <w:iCs/>
        </w:rPr>
        <w:t xml:space="preserve">ancos: Articulo 24 </w:t>
      </w:r>
    </w:p>
    <w:p w:rsidR="00291AF1" w:rsidRPr="00692CA5" w:rsidRDefault="00291AF1" w:rsidP="00291AF1">
      <w:pPr>
        <w:pStyle w:val="Prrafodelista"/>
        <w:numPr>
          <w:ilvl w:val="0"/>
          <w:numId w:val="12"/>
        </w:numPr>
        <w:spacing w:after="0" w:line="240" w:lineRule="auto"/>
        <w:jc w:val="both"/>
        <w:rPr>
          <w:iCs/>
        </w:rPr>
      </w:pPr>
      <w:r w:rsidRPr="00692CA5">
        <w:rPr>
          <w:iCs/>
        </w:rPr>
        <w:t>Ley de Bancos Cooperativos y Sociedades de Ahorro y Crédito: Artículo 12 y 157. </w:t>
      </w:r>
    </w:p>
    <w:p w:rsidR="00291AF1" w:rsidRPr="00692CA5" w:rsidRDefault="00291AF1" w:rsidP="00291AF1">
      <w:pPr>
        <w:pStyle w:val="Prrafodelista"/>
        <w:numPr>
          <w:ilvl w:val="0"/>
          <w:numId w:val="12"/>
        </w:numPr>
        <w:spacing w:after="0" w:line="240" w:lineRule="auto"/>
        <w:jc w:val="both"/>
        <w:rPr>
          <w:iCs/>
        </w:rPr>
      </w:pPr>
      <w:r w:rsidRPr="00692CA5">
        <w:rPr>
          <w:iCs/>
        </w:rPr>
        <w:t>Normas para autorizar a los Bancos y Controladoras de Finalidad Exclusiva a realizar Inversiones Accionara</w:t>
      </w:r>
      <w:r>
        <w:rPr>
          <w:iCs/>
        </w:rPr>
        <w:t>s en Sociedades Salvadoreñas</w:t>
      </w:r>
      <w:r w:rsidRPr="00692CA5">
        <w:rPr>
          <w:iCs/>
        </w:rPr>
        <w:t xml:space="preserve"> (NPB1-10).</w:t>
      </w:r>
    </w:p>
    <w:p w:rsidR="00291AF1" w:rsidRPr="00CF399E" w:rsidRDefault="00291AF1" w:rsidP="00291AF1">
      <w:pPr>
        <w:spacing w:after="0" w:line="240" w:lineRule="auto"/>
        <w:jc w:val="both"/>
        <w:rPr>
          <w:iCs/>
        </w:rPr>
      </w:pPr>
      <w:r>
        <w:rPr>
          <w:iCs/>
        </w:rPr>
        <w:t xml:space="preserve"> </w:t>
      </w:r>
    </w:p>
    <w:p w:rsidR="00291AF1" w:rsidRPr="00A20F2E" w:rsidRDefault="00291AF1" w:rsidP="00291AF1">
      <w:pPr>
        <w:spacing w:after="0" w:line="240" w:lineRule="auto"/>
        <w:jc w:val="both"/>
        <w:rPr>
          <w:iCs/>
          <w:u w:val="single"/>
        </w:rPr>
      </w:pPr>
      <w:r w:rsidRPr="00A20F2E">
        <w:rPr>
          <w:b/>
          <w:bCs/>
          <w:iCs/>
          <w:u w:val="single"/>
        </w:rPr>
        <w:t>Requisitos a presentar</w:t>
      </w:r>
      <w:r>
        <w:rPr>
          <w:b/>
          <w:bCs/>
          <w:iCs/>
          <w:u w:val="single"/>
        </w:rPr>
        <w:t>:</w:t>
      </w:r>
    </w:p>
    <w:p w:rsidR="00291AF1" w:rsidRDefault="00291AF1" w:rsidP="00291AF1">
      <w:pPr>
        <w:spacing w:after="0" w:line="240" w:lineRule="auto"/>
        <w:contextualSpacing/>
        <w:jc w:val="both"/>
        <w:rPr>
          <w:iCs/>
        </w:rPr>
      </w:pPr>
    </w:p>
    <w:p w:rsidR="00291AF1" w:rsidRPr="00692CA5" w:rsidRDefault="00291AF1" w:rsidP="00291AF1">
      <w:pPr>
        <w:pStyle w:val="Prrafodelista"/>
        <w:numPr>
          <w:ilvl w:val="0"/>
          <w:numId w:val="14"/>
        </w:numPr>
        <w:spacing w:after="0" w:line="240" w:lineRule="auto"/>
        <w:ind w:left="567" w:hanging="567"/>
        <w:jc w:val="both"/>
        <w:rPr>
          <w:bCs/>
          <w:iCs/>
        </w:rPr>
      </w:pPr>
      <w:r w:rsidRPr="00692CA5">
        <w:rPr>
          <w:b/>
          <w:bCs/>
          <w:iCs/>
        </w:rPr>
        <w:t>BANCOS Y SOCIEDADES DE AHORRO Y CRÉDITO</w:t>
      </w:r>
    </w:p>
    <w:p w:rsidR="00291AF1" w:rsidRDefault="00291AF1" w:rsidP="00291AF1">
      <w:pPr>
        <w:pStyle w:val="Prrafodelista"/>
        <w:spacing w:after="0" w:line="240" w:lineRule="auto"/>
        <w:ind w:left="1080"/>
        <w:jc w:val="both"/>
        <w:rPr>
          <w:b/>
          <w:bCs/>
          <w:iCs/>
        </w:rPr>
      </w:pPr>
    </w:p>
    <w:p w:rsidR="00291AF1" w:rsidRDefault="00291AF1" w:rsidP="00291AF1">
      <w:pPr>
        <w:pStyle w:val="Prrafodelista"/>
        <w:numPr>
          <w:ilvl w:val="0"/>
          <w:numId w:val="13"/>
        </w:numPr>
        <w:spacing w:after="0" w:line="240" w:lineRule="auto"/>
        <w:jc w:val="both"/>
        <w:rPr>
          <w:iCs/>
        </w:rPr>
      </w:pPr>
      <w:r>
        <w:rPr>
          <w:iCs/>
        </w:rPr>
        <w:t>S</w:t>
      </w:r>
      <w:r w:rsidRPr="003407FD">
        <w:rPr>
          <w:iCs/>
        </w:rPr>
        <w:t xml:space="preserve">olicitud </w:t>
      </w:r>
      <w:r>
        <w:rPr>
          <w:iCs/>
        </w:rPr>
        <w:t xml:space="preserve">de autorización </w:t>
      </w:r>
      <w:r w:rsidRPr="003407FD">
        <w:rPr>
          <w:iCs/>
        </w:rPr>
        <w:t>expresa dirigida al Superintendente del Sistema Financiero, suscrita por el Presidente o Representante Legal de la Entidad</w:t>
      </w:r>
      <w:r>
        <w:rPr>
          <w:iCs/>
        </w:rPr>
        <w:t>, la que deberá mencionar:</w:t>
      </w:r>
    </w:p>
    <w:p w:rsidR="00291AF1" w:rsidRDefault="00291AF1" w:rsidP="00291AF1">
      <w:pPr>
        <w:pStyle w:val="Prrafodelista"/>
        <w:spacing w:after="0" w:line="240" w:lineRule="auto"/>
        <w:jc w:val="both"/>
        <w:rPr>
          <w:iCs/>
        </w:rPr>
      </w:pPr>
    </w:p>
    <w:p w:rsidR="00291AF1" w:rsidRPr="00555371" w:rsidRDefault="00291AF1" w:rsidP="00291AF1">
      <w:pPr>
        <w:pStyle w:val="Prrafodelista"/>
        <w:numPr>
          <w:ilvl w:val="1"/>
          <w:numId w:val="14"/>
        </w:numPr>
        <w:spacing w:after="0" w:line="240" w:lineRule="auto"/>
        <w:jc w:val="both"/>
        <w:rPr>
          <w:iCs/>
        </w:rPr>
      </w:pPr>
      <w:r w:rsidRPr="00555371">
        <w:rPr>
          <w:iCs/>
        </w:rPr>
        <w:t xml:space="preserve">Nombre de la entidad salvadoreña de capital en la que se  tiene interés de invertir, cuya finalidad o giro exclusivo deberá corresponder a:  </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Casas de cambio de moneda extranjera;</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Casas de corredores de bolsa;</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Empresas emisoras de tarjetas de crédito;</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Almacenes generales de depósito;</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Sociedades que presten servicio de pago, custodia y transporte de valores;</w:t>
      </w:r>
    </w:p>
    <w:p w:rsidR="00291AF1" w:rsidRDefault="00291AF1" w:rsidP="00291AF1">
      <w:pPr>
        <w:pStyle w:val="Prrafodelista"/>
        <w:spacing w:after="0" w:line="240" w:lineRule="auto"/>
        <w:ind w:left="1134"/>
        <w:jc w:val="both"/>
        <w:rPr>
          <w:iCs/>
        </w:rPr>
      </w:pPr>
    </w:p>
    <w:p w:rsidR="00291AF1" w:rsidRDefault="00291AF1" w:rsidP="00291AF1">
      <w:pPr>
        <w:pStyle w:val="Prrafodelista"/>
        <w:numPr>
          <w:ilvl w:val="2"/>
          <w:numId w:val="15"/>
        </w:numPr>
        <w:spacing w:after="0" w:line="240" w:lineRule="auto"/>
        <w:ind w:left="1134" w:hanging="425"/>
        <w:jc w:val="both"/>
        <w:rPr>
          <w:iCs/>
        </w:rPr>
      </w:pPr>
      <w:r>
        <w:rPr>
          <w:iCs/>
        </w:rPr>
        <w:t>Sociedades de depósito y  custodia de valores;</w:t>
      </w:r>
    </w:p>
    <w:p w:rsidR="00291AF1" w:rsidRDefault="00291AF1" w:rsidP="00291AF1">
      <w:pPr>
        <w:pStyle w:val="Prrafodelista"/>
        <w:spacing w:after="0" w:line="240" w:lineRule="auto"/>
        <w:ind w:left="1134"/>
        <w:jc w:val="both"/>
        <w:rPr>
          <w:iCs/>
        </w:rPr>
      </w:pPr>
    </w:p>
    <w:p w:rsidR="00291AF1" w:rsidRPr="00692CA5" w:rsidRDefault="00291AF1" w:rsidP="00291AF1">
      <w:pPr>
        <w:pStyle w:val="Prrafodelista"/>
        <w:numPr>
          <w:ilvl w:val="2"/>
          <w:numId w:val="15"/>
        </w:numPr>
        <w:spacing w:after="0" w:line="240" w:lineRule="auto"/>
        <w:ind w:left="1134" w:hanging="425"/>
        <w:jc w:val="both"/>
        <w:rPr>
          <w:iCs/>
        </w:rPr>
      </w:pPr>
      <w:r w:rsidRPr="00692CA5">
        <w:rPr>
          <w:iCs/>
        </w:rPr>
        <w:t xml:space="preserve">Sociedades de arrendamiento financiero; y </w:t>
      </w:r>
    </w:p>
    <w:p w:rsidR="00291AF1" w:rsidRDefault="00291AF1" w:rsidP="00291AF1">
      <w:pPr>
        <w:pStyle w:val="Prrafodelista"/>
        <w:spacing w:after="0" w:line="240" w:lineRule="auto"/>
        <w:ind w:left="1134"/>
        <w:jc w:val="both"/>
        <w:rPr>
          <w:iCs/>
        </w:rPr>
      </w:pPr>
    </w:p>
    <w:p w:rsidR="00291AF1" w:rsidRPr="00692CA5" w:rsidRDefault="00291AF1" w:rsidP="00291AF1">
      <w:pPr>
        <w:pStyle w:val="Prrafodelista"/>
        <w:numPr>
          <w:ilvl w:val="2"/>
          <w:numId w:val="15"/>
        </w:numPr>
        <w:spacing w:after="0" w:line="240" w:lineRule="auto"/>
        <w:ind w:left="1134" w:hanging="425"/>
        <w:jc w:val="both"/>
        <w:rPr>
          <w:iCs/>
        </w:rPr>
      </w:pPr>
      <w:r w:rsidRPr="00692CA5">
        <w:rPr>
          <w:iCs/>
        </w:rPr>
        <w:t>Otras sociedades que complementen sus servicios financieros;</w:t>
      </w:r>
    </w:p>
    <w:p w:rsidR="00291AF1" w:rsidRDefault="00291AF1" w:rsidP="00291AF1">
      <w:pPr>
        <w:pStyle w:val="Prrafodelista"/>
        <w:spacing w:after="0" w:line="240" w:lineRule="auto"/>
        <w:jc w:val="both"/>
        <w:rPr>
          <w:iCs/>
        </w:rPr>
      </w:pPr>
    </w:p>
    <w:p w:rsidR="00291AF1" w:rsidRPr="00555371" w:rsidRDefault="00291AF1" w:rsidP="00291AF1">
      <w:pPr>
        <w:pStyle w:val="Prrafodelista"/>
        <w:numPr>
          <w:ilvl w:val="1"/>
          <w:numId w:val="14"/>
        </w:numPr>
        <w:spacing w:after="0" w:line="240" w:lineRule="auto"/>
        <w:jc w:val="both"/>
        <w:rPr>
          <w:iCs/>
        </w:rPr>
      </w:pPr>
      <w:r w:rsidRPr="00692CA5">
        <w:rPr>
          <w:iCs/>
        </w:rPr>
        <w:t>El</w:t>
      </w:r>
      <w:r w:rsidRPr="005F0ABF">
        <w:rPr>
          <w:iCs/>
        </w:rPr>
        <w:t xml:space="preserve"> monto de la inversión</w:t>
      </w:r>
      <w:r>
        <w:rPr>
          <w:iCs/>
        </w:rPr>
        <w:t>, indicando si se trata de una sociedad en proceso de constitución y/o sociedad en marcha, adjuntando la siguiente información según el caso:</w:t>
      </w:r>
    </w:p>
    <w:p w:rsidR="00291AF1" w:rsidRDefault="00291AF1" w:rsidP="00C538DA">
      <w:pPr>
        <w:tabs>
          <w:tab w:val="left" w:pos="960"/>
        </w:tabs>
      </w:pPr>
    </w:p>
    <w:p w:rsidR="00291AF1" w:rsidRDefault="00291AF1" w:rsidP="00C538DA">
      <w:pPr>
        <w:tabs>
          <w:tab w:val="left" w:pos="960"/>
        </w:tabs>
      </w:pPr>
    </w:p>
    <w:p w:rsidR="00291AF1" w:rsidRPr="001717D4" w:rsidRDefault="00291AF1" w:rsidP="00291AF1">
      <w:pPr>
        <w:pStyle w:val="Prrafodelista"/>
        <w:numPr>
          <w:ilvl w:val="0"/>
          <w:numId w:val="16"/>
        </w:numPr>
        <w:spacing w:after="0" w:line="240" w:lineRule="auto"/>
        <w:jc w:val="both"/>
        <w:rPr>
          <w:b/>
          <w:iCs/>
        </w:rPr>
      </w:pPr>
      <w:r w:rsidRPr="001717D4">
        <w:rPr>
          <w:b/>
          <w:iCs/>
        </w:rPr>
        <w:lastRenderedPageBreak/>
        <w:t xml:space="preserve">Inversión en sociedades en proceso de constitución: </w:t>
      </w:r>
    </w:p>
    <w:p w:rsidR="00291AF1" w:rsidRDefault="00291AF1" w:rsidP="00291AF1">
      <w:pPr>
        <w:spacing w:after="0" w:line="240" w:lineRule="auto"/>
        <w:jc w:val="both"/>
        <w:rPr>
          <w:b/>
          <w:iCs/>
        </w:rPr>
      </w:pPr>
    </w:p>
    <w:p w:rsidR="00291AF1" w:rsidRDefault="00291AF1" w:rsidP="00291AF1">
      <w:pPr>
        <w:pStyle w:val="Prrafodelista"/>
        <w:numPr>
          <w:ilvl w:val="0"/>
          <w:numId w:val="17"/>
        </w:numPr>
        <w:spacing w:after="0" w:line="240" w:lineRule="auto"/>
        <w:jc w:val="both"/>
      </w:pPr>
      <w:r w:rsidRPr="005F0ABF">
        <w:t>Certificación del acuerdo de junta general de accionistas o de junta directiva, según lo requiere el pacto social del banco, en</w:t>
      </w:r>
      <w:r>
        <w:t xml:space="preserve"> donde se autoriza la inversión;</w:t>
      </w:r>
    </w:p>
    <w:p w:rsidR="00291AF1" w:rsidRDefault="00291AF1" w:rsidP="00291AF1">
      <w:pPr>
        <w:pStyle w:val="Prrafodelista"/>
        <w:spacing w:after="0" w:line="240" w:lineRule="auto"/>
        <w:ind w:left="360"/>
        <w:jc w:val="both"/>
      </w:pPr>
    </w:p>
    <w:p w:rsidR="00291AF1" w:rsidRPr="005F0ABF" w:rsidRDefault="00291AF1" w:rsidP="00291AF1">
      <w:pPr>
        <w:pStyle w:val="Prrafodelista"/>
        <w:numPr>
          <w:ilvl w:val="0"/>
          <w:numId w:val="17"/>
        </w:numPr>
        <w:spacing w:after="0" w:line="240" w:lineRule="auto"/>
        <w:jc w:val="both"/>
      </w:pPr>
      <w:r w:rsidRPr="005F0ABF">
        <w:t>Proyecto de  escritura de constitu</w:t>
      </w:r>
      <w:r>
        <w:t>ción y estatutos de la sociedad;</w:t>
      </w:r>
    </w:p>
    <w:p w:rsidR="00291AF1" w:rsidRDefault="00291AF1" w:rsidP="00291AF1">
      <w:pPr>
        <w:spacing w:after="0" w:line="240" w:lineRule="auto"/>
        <w:jc w:val="both"/>
      </w:pPr>
    </w:p>
    <w:p w:rsidR="00291AF1" w:rsidRDefault="00291AF1" w:rsidP="00291AF1">
      <w:pPr>
        <w:pStyle w:val="Prrafodelista"/>
        <w:numPr>
          <w:ilvl w:val="0"/>
          <w:numId w:val="17"/>
        </w:numPr>
        <w:spacing w:after="0" w:line="240" w:lineRule="auto"/>
        <w:jc w:val="both"/>
      </w:pPr>
      <w:r w:rsidRPr="005F0ABF">
        <w:t>Estudio de factibilidad económico financiero en el que se incluyan</w:t>
      </w:r>
      <w:r>
        <w:t>:</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L</w:t>
      </w:r>
      <w:r w:rsidRPr="005F0ABF">
        <w:t>as bases financieras de las opera</w:t>
      </w:r>
      <w:r>
        <w:t>ciones que se van a desarrollar;</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Los planes comerciales;</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S</w:t>
      </w:r>
      <w:r w:rsidRPr="005F0ABF">
        <w:t>egme</w:t>
      </w:r>
      <w:r>
        <w:t>nto de mercado que se atenderá;</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Capital que se invertirá;</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C</w:t>
      </w:r>
      <w:r w:rsidRPr="005F0ABF">
        <w:t xml:space="preserve">obertura de </w:t>
      </w:r>
      <w:r>
        <w:t>servicios que se proporcionarán;</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P</w:t>
      </w:r>
      <w:r w:rsidRPr="005F0ABF">
        <w:t xml:space="preserve">royecciones financieras de por lo menos </w:t>
      </w:r>
      <w:r>
        <w:t>tres años; y</w:t>
      </w:r>
    </w:p>
    <w:p w:rsidR="00291AF1" w:rsidRDefault="00291AF1" w:rsidP="00291AF1">
      <w:pPr>
        <w:pStyle w:val="Prrafodelista"/>
        <w:spacing w:after="0" w:line="240" w:lineRule="auto"/>
        <w:jc w:val="both"/>
      </w:pPr>
    </w:p>
    <w:p w:rsidR="00291AF1" w:rsidRDefault="00291AF1" w:rsidP="00291AF1">
      <w:pPr>
        <w:pStyle w:val="Prrafodelista"/>
        <w:numPr>
          <w:ilvl w:val="1"/>
          <w:numId w:val="18"/>
        </w:numPr>
        <w:spacing w:after="0" w:line="240" w:lineRule="auto"/>
        <w:jc w:val="both"/>
      </w:pPr>
      <w:r>
        <w:t>E</w:t>
      </w:r>
      <w:r w:rsidRPr="005F0ABF">
        <w:t>l esquema de organizaci</w:t>
      </w:r>
      <w:r>
        <w:t>ón y administración de entidad;</w:t>
      </w:r>
    </w:p>
    <w:p w:rsidR="00291AF1" w:rsidRDefault="00291AF1" w:rsidP="00291AF1">
      <w:pPr>
        <w:pStyle w:val="Prrafodelista"/>
        <w:spacing w:after="0" w:line="240" w:lineRule="auto"/>
        <w:ind w:left="360"/>
        <w:jc w:val="both"/>
      </w:pPr>
    </w:p>
    <w:p w:rsidR="00291AF1" w:rsidRPr="005F0ABF" w:rsidRDefault="00291AF1" w:rsidP="00291AF1">
      <w:pPr>
        <w:pStyle w:val="Prrafodelista"/>
        <w:numPr>
          <w:ilvl w:val="0"/>
          <w:numId w:val="17"/>
        </w:numPr>
        <w:spacing w:after="0" w:line="240" w:lineRule="auto"/>
        <w:jc w:val="both"/>
      </w:pPr>
      <w:r w:rsidRPr="005F0ABF">
        <w:t>El estudio de factibilidad económico financiero deberá ser elaborado por un profesional de amplia experiencia en la formulación y evaluación de proyectos o por una empresa respaldada por profesiona</w:t>
      </w:r>
      <w:r>
        <w:t>les de esa categoría;</w:t>
      </w:r>
    </w:p>
    <w:p w:rsidR="00291AF1" w:rsidRDefault="00291AF1" w:rsidP="00291AF1">
      <w:pPr>
        <w:pStyle w:val="Prrafodelista"/>
        <w:spacing w:after="0" w:line="240" w:lineRule="auto"/>
        <w:ind w:left="360"/>
        <w:jc w:val="both"/>
      </w:pPr>
    </w:p>
    <w:p w:rsidR="00291AF1" w:rsidRPr="005F0ABF" w:rsidRDefault="00291AF1" w:rsidP="00291AF1">
      <w:pPr>
        <w:pStyle w:val="Prrafodelista"/>
        <w:numPr>
          <w:ilvl w:val="0"/>
          <w:numId w:val="17"/>
        </w:numPr>
        <w:spacing w:after="0" w:line="240" w:lineRule="auto"/>
        <w:jc w:val="both"/>
      </w:pPr>
      <w:r w:rsidRPr="005F0ABF">
        <w:t>Listado de los futuros accionistas de la sociedad con su participación accionari</w:t>
      </w:r>
      <w:r>
        <w:t>a y su vinculación con el banco;</w:t>
      </w:r>
    </w:p>
    <w:p w:rsidR="00291AF1" w:rsidRDefault="00291AF1" w:rsidP="00291AF1">
      <w:pPr>
        <w:pStyle w:val="Prrafodelista"/>
        <w:spacing w:after="0" w:line="240" w:lineRule="auto"/>
        <w:ind w:left="360"/>
        <w:jc w:val="both"/>
      </w:pPr>
    </w:p>
    <w:p w:rsidR="00291AF1" w:rsidRDefault="00291AF1" w:rsidP="00291AF1">
      <w:pPr>
        <w:pStyle w:val="Prrafodelista"/>
        <w:numPr>
          <w:ilvl w:val="0"/>
          <w:numId w:val="17"/>
        </w:numPr>
        <w:spacing w:after="0" w:line="240" w:lineRule="auto"/>
        <w:jc w:val="both"/>
      </w:pPr>
      <w:r w:rsidRPr="005F0ABF">
        <w:t>Cuando se trate de inversiones por más del cincuenta por ciento en acciones comunes de la sociedad, indicar</w:t>
      </w:r>
      <w:r>
        <w:t>:</w:t>
      </w:r>
    </w:p>
    <w:p w:rsidR="00291AF1" w:rsidRDefault="00291AF1" w:rsidP="00291AF1">
      <w:pPr>
        <w:pStyle w:val="Prrafodelista"/>
        <w:spacing w:after="0" w:line="240" w:lineRule="auto"/>
        <w:jc w:val="both"/>
      </w:pPr>
    </w:p>
    <w:p w:rsidR="00291AF1" w:rsidRDefault="00291AF1" w:rsidP="00291AF1">
      <w:pPr>
        <w:pStyle w:val="Prrafodelista"/>
        <w:numPr>
          <w:ilvl w:val="1"/>
          <w:numId w:val="19"/>
        </w:numPr>
        <w:spacing w:after="0" w:line="240" w:lineRule="auto"/>
        <w:jc w:val="both"/>
      </w:pPr>
      <w:r>
        <w:t>L</w:t>
      </w:r>
      <w:r w:rsidRPr="005F0ABF">
        <w:t>a forma en que el banco prevé dirigir y cont</w:t>
      </w:r>
      <w:r>
        <w:t>rolar la gestión de la sociedad;</w:t>
      </w:r>
    </w:p>
    <w:p w:rsidR="00291AF1" w:rsidRDefault="00291AF1" w:rsidP="00291AF1">
      <w:pPr>
        <w:pStyle w:val="Prrafodelista"/>
        <w:spacing w:after="0" w:line="240" w:lineRule="auto"/>
        <w:jc w:val="both"/>
      </w:pPr>
    </w:p>
    <w:p w:rsidR="00291AF1" w:rsidRDefault="00291AF1" w:rsidP="00291AF1">
      <w:pPr>
        <w:pStyle w:val="Prrafodelista"/>
        <w:numPr>
          <w:ilvl w:val="1"/>
          <w:numId w:val="19"/>
        </w:numPr>
        <w:spacing w:after="0" w:line="240" w:lineRule="auto"/>
        <w:jc w:val="both"/>
      </w:pPr>
      <w:r>
        <w:t xml:space="preserve">Proceso para </w:t>
      </w:r>
      <w:r w:rsidRPr="005F0ABF">
        <w:t>la fijación d</w:t>
      </w:r>
      <w:r>
        <w:t>e políticas y manejo de riesgos;</w:t>
      </w:r>
    </w:p>
    <w:p w:rsidR="00291AF1" w:rsidRDefault="00291AF1" w:rsidP="00291AF1">
      <w:pPr>
        <w:pStyle w:val="Prrafodelista"/>
        <w:spacing w:after="0" w:line="240" w:lineRule="auto"/>
        <w:jc w:val="both"/>
      </w:pPr>
    </w:p>
    <w:p w:rsidR="00291AF1" w:rsidRDefault="00291AF1" w:rsidP="00291AF1">
      <w:pPr>
        <w:pStyle w:val="Prrafodelista"/>
        <w:numPr>
          <w:ilvl w:val="1"/>
          <w:numId w:val="19"/>
        </w:numPr>
        <w:spacing w:after="0" w:line="240" w:lineRule="auto"/>
        <w:jc w:val="both"/>
      </w:pPr>
      <w:r>
        <w:t>Grado de autonomía;</w:t>
      </w:r>
    </w:p>
    <w:p w:rsidR="00291AF1" w:rsidRDefault="00291AF1" w:rsidP="00291AF1">
      <w:pPr>
        <w:pStyle w:val="Prrafodelista"/>
        <w:spacing w:after="0" w:line="240" w:lineRule="auto"/>
        <w:jc w:val="both"/>
      </w:pPr>
    </w:p>
    <w:p w:rsidR="00291AF1" w:rsidRDefault="00291AF1" w:rsidP="00291AF1">
      <w:pPr>
        <w:pStyle w:val="Prrafodelista"/>
        <w:numPr>
          <w:ilvl w:val="1"/>
          <w:numId w:val="19"/>
        </w:numPr>
        <w:spacing w:after="0" w:line="240" w:lineRule="auto"/>
        <w:jc w:val="both"/>
      </w:pPr>
      <w:r>
        <w:t>Sistemas de control interno;</w:t>
      </w:r>
    </w:p>
    <w:p w:rsidR="00291AF1" w:rsidRDefault="00291AF1" w:rsidP="00291AF1">
      <w:pPr>
        <w:pStyle w:val="Prrafodelista"/>
        <w:spacing w:after="0" w:line="240" w:lineRule="auto"/>
        <w:jc w:val="both"/>
      </w:pPr>
    </w:p>
    <w:p w:rsidR="00291AF1" w:rsidRDefault="00291AF1" w:rsidP="00291AF1">
      <w:pPr>
        <w:pStyle w:val="Prrafodelista"/>
        <w:numPr>
          <w:ilvl w:val="1"/>
          <w:numId w:val="19"/>
        </w:numPr>
        <w:spacing w:after="0" w:line="240" w:lineRule="auto"/>
        <w:jc w:val="both"/>
      </w:pPr>
      <w:r>
        <w:t>Sistema de Información previstos; y</w:t>
      </w:r>
      <w:r w:rsidRPr="005F0ABF">
        <w:t xml:space="preserve"> </w:t>
      </w:r>
    </w:p>
    <w:p w:rsidR="00291AF1" w:rsidRDefault="00291AF1" w:rsidP="00291AF1">
      <w:pPr>
        <w:pStyle w:val="Prrafodelista"/>
        <w:spacing w:after="0" w:line="240" w:lineRule="auto"/>
        <w:jc w:val="both"/>
      </w:pPr>
    </w:p>
    <w:p w:rsidR="00291AF1" w:rsidRPr="00555371" w:rsidRDefault="00291AF1" w:rsidP="00291AF1">
      <w:pPr>
        <w:pStyle w:val="Prrafodelista"/>
        <w:numPr>
          <w:ilvl w:val="1"/>
          <w:numId w:val="19"/>
        </w:numPr>
        <w:spacing w:after="0" w:line="240" w:lineRule="auto"/>
        <w:jc w:val="both"/>
      </w:pPr>
      <w:r w:rsidRPr="00555371">
        <w:t>Sistemas de monitoreo relacionados con la Prevención de Lavado de Dinero y  otros activos.</w:t>
      </w:r>
    </w:p>
    <w:p w:rsidR="00291AF1" w:rsidRDefault="00291AF1" w:rsidP="00291AF1">
      <w:pPr>
        <w:pStyle w:val="Prrafodelista"/>
        <w:spacing w:after="0" w:line="240" w:lineRule="auto"/>
        <w:ind w:left="360"/>
        <w:jc w:val="both"/>
      </w:pPr>
    </w:p>
    <w:p w:rsidR="00291AF1" w:rsidRDefault="00291AF1" w:rsidP="00291AF1">
      <w:pPr>
        <w:pStyle w:val="Prrafodelista"/>
        <w:numPr>
          <w:ilvl w:val="0"/>
          <w:numId w:val="17"/>
        </w:numPr>
        <w:spacing w:after="0" w:line="240" w:lineRule="auto"/>
        <w:jc w:val="both"/>
      </w:pPr>
      <w:r>
        <w:t>Cuando se trate de inversiones minoritarias deberá expresarse los propósitos para invertir en una sociedad que no controlará;</w:t>
      </w:r>
    </w:p>
    <w:p w:rsidR="00291AF1" w:rsidRDefault="00291AF1" w:rsidP="00291AF1">
      <w:pPr>
        <w:pStyle w:val="Prrafodelista"/>
        <w:spacing w:after="0" w:line="240" w:lineRule="auto"/>
        <w:ind w:left="360"/>
        <w:jc w:val="both"/>
      </w:pPr>
    </w:p>
    <w:p w:rsidR="00291AF1" w:rsidRDefault="00291AF1" w:rsidP="00291AF1">
      <w:pPr>
        <w:pStyle w:val="Prrafodelista"/>
        <w:numPr>
          <w:ilvl w:val="0"/>
          <w:numId w:val="17"/>
        </w:numPr>
        <w:spacing w:after="0" w:line="240" w:lineRule="auto"/>
        <w:jc w:val="both"/>
      </w:pPr>
      <w:r w:rsidRPr="005F0ABF">
        <w:lastRenderedPageBreak/>
        <w:t>Presentar solicitud para adquirir acciones en exceso  del diez por ciento, para el caso</w:t>
      </w:r>
      <w:r>
        <w:t xml:space="preserve"> de  los accionistas relevantes;</w:t>
      </w:r>
    </w:p>
    <w:p w:rsidR="008D23D1" w:rsidRDefault="008D23D1" w:rsidP="008D23D1">
      <w:pPr>
        <w:spacing w:after="0" w:line="240" w:lineRule="auto"/>
        <w:jc w:val="both"/>
      </w:pPr>
    </w:p>
    <w:bookmarkStart w:id="0" w:name="_MON_1474359087"/>
    <w:bookmarkEnd w:id="0"/>
    <w:p w:rsidR="00291AF1" w:rsidRDefault="00291AF1" w:rsidP="00291AF1">
      <w:pPr>
        <w:spacing w:after="0" w:line="240" w:lineRule="auto"/>
        <w:ind w:left="720"/>
        <w:jc w:val="both"/>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49.6pt" o:ole="">
            <v:imagedata r:id="rId8" o:title=""/>
          </v:shape>
          <o:OLEObject Type="Embed" ProgID="Word.Document.12" ShapeID="_x0000_i1025" DrawAspect="Icon" ObjectID="_1528785669" r:id="rId9">
            <o:FieldCodes>\s</o:FieldCodes>
          </o:OLEObject>
        </w:object>
      </w:r>
      <w:r>
        <w:t xml:space="preserve">  </w:t>
      </w:r>
      <w:bookmarkStart w:id="1" w:name="_MON_1474359106"/>
      <w:bookmarkEnd w:id="1"/>
      <w:r>
        <w:object w:dxaOrig="1550" w:dyaOrig="991">
          <v:shape id="_x0000_i1026" type="#_x0000_t75" style="width:78.1pt;height:49.6pt" o:ole="">
            <v:imagedata r:id="rId10" o:title=""/>
          </v:shape>
          <o:OLEObject Type="Embed" ProgID="Word.Document.12" ShapeID="_x0000_i1026" DrawAspect="Icon" ObjectID="_1528785670" r:id="rId11">
            <o:FieldCodes>\s</o:FieldCodes>
          </o:OLEObject>
        </w:object>
      </w:r>
    </w:p>
    <w:p w:rsidR="00291AF1" w:rsidRDefault="00291AF1" w:rsidP="00291AF1">
      <w:pPr>
        <w:spacing w:after="0" w:line="240" w:lineRule="auto"/>
        <w:ind w:left="720"/>
        <w:jc w:val="both"/>
      </w:pPr>
    </w:p>
    <w:p w:rsidR="00291AF1" w:rsidRDefault="00291AF1" w:rsidP="00291AF1">
      <w:pPr>
        <w:pStyle w:val="Prrafodelista"/>
        <w:numPr>
          <w:ilvl w:val="0"/>
          <w:numId w:val="17"/>
        </w:numPr>
        <w:spacing w:after="0" w:line="240" w:lineRule="auto"/>
        <w:jc w:val="both"/>
      </w:pPr>
      <w:r w:rsidRPr="005F0ABF">
        <w:t xml:space="preserve">Currículum vitae de los futuros ejecutivos de más alto nivel de la subsidiaria, entendiéndose como tales, el  gerente general y los gerentes o subgerentes de áreas o, en todo caso, los que desempeñen  cargos </w:t>
      </w:r>
      <w:r>
        <w:t xml:space="preserve"> equivalentes a los mencionados;</w:t>
      </w:r>
    </w:p>
    <w:p w:rsidR="00291AF1" w:rsidRDefault="00291AF1" w:rsidP="00291AF1">
      <w:pPr>
        <w:pStyle w:val="Prrafodelista"/>
        <w:spacing w:after="0" w:line="240" w:lineRule="auto"/>
        <w:ind w:left="360"/>
        <w:jc w:val="both"/>
      </w:pPr>
    </w:p>
    <w:p w:rsidR="00291AF1" w:rsidRDefault="00291AF1" w:rsidP="00291AF1">
      <w:pPr>
        <w:pStyle w:val="Prrafodelista"/>
        <w:numPr>
          <w:ilvl w:val="0"/>
          <w:numId w:val="17"/>
        </w:numPr>
        <w:spacing w:after="0" w:line="240" w:lineRule="auto"/>
        <w:jc w:val="both"/>
      </w:pPr>
      <w:r w:rsidRPr="005F0ABF">
        <w:t>Efecto en el fondo patrimonial del banco de la inversión a realizar, tanto en forma individual como consolidada, de c</w:t>
      </w:r>
      <w:r>
        <w:t>onformidad con la Ley de Bancos; y</w:t>
      </w:r>
    </w:p>
    <w:p w:rsidR="00291AF1" w:rsidRDefault="00291AF1" w:rsidP="00291AF1">
      <w:pPr>
        <w:pStyle w:val="Prrafodelista"/>
        <w:spacing w:after="0" w:line="240" w:lineRule="auto"/>
        <w:ind w:left="360"/>
        <w:jc w:val="both"/>
      </w:pPr>
    </w:p>
    <w:p w:rsidR="00291AF1" w:rsidRDefault="00291AF1" w:rsidP="00291AF1">
      <w:pPr>
        <w:pStyle w:val="Prrafodelista"/>
        <w:numPr>
          <w:ilvl w:val="0"/>
          <w:numId w:val="17"/>
        </w:numPr>
        <w:spacing w:after="0" w:line="240" w:lineRule="auto"/>
        <w:jc w:val="both"/>
      </w:pPr>
      <w:r>
        <w:t xml:space="preserve">Análisis emitidos por la Unidad de Riesgos del Banco. </w:t>
      </w:r>
    </w:p>
    <w:p w:rsidR="00291AF1" w:rsidRDefault="00291AF1" w:rsidP="00291AF1">
      <w:pPr>
        <w:spacing w:after="0" w:line="240" w:lineRule="auto"/>
        <w:jc w:val="both"/>
        <w:rPr>
          <w:b/>
          <w:bCs/>
          <w:iCs/>
        </w:rPr>
      </w:pPr>
    </w:p>
    <w:p w:rsidR="00291AF1" w:rsidRPr="00692CA5" w:rsidRDefault="00291AF1" w:rsidP="00291AF1">
      <w:pPr>
        <w:spacing w:after="0" w:line="240" w:lineRule="auto"/>
        <w:jc w:val="both"/>
        <w:rPr>
          <w:highlight w:val="green"/>
        </w:rPr>
      </w:pPr>
      <w:r w:rsidRPr="00692CA5">
        <w:t>Las sociedades de ahorro y crédito no podrán tener subsidiarias en el extranjero.</w:t>
      </w:r>
    </w:p>
    <w:p w:rsidR="00291AF1" w:rsidRDefault="00291AF1" w:rsidP="00291AF1">
      <w:pPr>
        <w:spacing w:after="0" w:line="240" w:lineRule="auto"/>
        <w:jc w:val="both"/>
        <w:rPr>
          <w:b/>
          <w:bCs/>
          <w:iCs/>
        </w:rPr>
      </w:pPr>
    </w:p>
    <w:p w:rsidR="00291AF1" w:rsidRDefault="00291AF1" w:rsidP="00291AF1">
      <w:pPr>
        <w:pStyle w:val="Prrafodelista"/>
        <w:numPr>
          <w:ilvl w:val="0"/>
          <w:numId w:val="16"/>
        </w:numPr>
        <w:spacing w:after="0" w:line="240" w:lineRule="auto"/>
        <w:jc w:val="both"/>
        <w:rPr>
          <w:b/>
          <w:bCs/>
          <w:iCs/>
        </w:rPr>
      </w:pPr>
      <w:r w:rsidRPr="001A182A">
        <w:rPr>
          <w:b/>
          <w:bCs/>
          <w:iCs/>
        </w:rPr>
        <w:t>Inversión en Sociedades en Marcha:</w:t>
      </w:r>
      <w:r>
        <w:rPr>
          <w:b/>
          <w:bCs/>
          <w:iCs/>
          <w:u w:val="single"/>
        </w:rPr>
        <w:t xml:space="preserve"> </w:t>
      </w:r>
    </w:p>
    <w:p w:rsidR="00291AF1" w:rsidRDefault="00291AF1" w:rsidP="00291AF1">
      <w:pPr>
        <w:spacing w:after="0" w:line="240" w:lineRule="auto"/>
        <w:jc w:val="both"/>
        <w:rPr>
          <w:b/>
          <w:bCs/>
          <w:iCs/>
        </w:rPr>
      </w:pPr>
    </w:p>
    <w:p w:rsidR="00291AF1" w:rsidRPr="00B6463C" w:rsidRDefault="00291AF1" w:rsidP="00291AF1">
      <w:pPr>
        <w:pStyle w:val="Prrafodelista"/>
        <w:numPr>
          <w:ilvl w:val="0"/>
          <w:numId w:val="20"/>
        </w:numPr>
        <w:spacing w:after="0" w:line="240" w:lineRule="auto"/>
        <w:ind w:left="364" w:hanging="392"/>
        <w:jc w:val="both"/>
      </w:pPr>
      <w:r w:rsidRPr="00B6463C">
        <w:t xml:space="preserve">Certificación del acuerdo de junta general de accionista o de junta directiva, según lo requiere el pacto social del banco, en donde se </w:t>
      </w:r>
      <w:r>
        <w:t>autoriza la inversión;</w:t>
      </w:r>
    </w:p>
    <w:p w:rsidR="00291AF1" w:rsidRDefault="00291AF1" w:rsidP="00291AF1">
      <w:pPr>
        <w:pStyle w:val="Prrafodelista"/>
        <w:spacing w:after="0" w:line="240" w:lineRule="auto"/>
        <w:ind w:left="364"/>
        <w:jc w:val="both"/>
      </w:pPr>
    </w:p>
    <w:p w:rsidR="00291AF1" w:rsidRDefault="00291AF1" w:rsidP="00291AF1">
      <w:pPr>
        <w:pStyle w:val="Prrafodelista"/>
        <w:numPr>
          <w:ilvl w:val="0"/>
          <w:numId w:val="20"/>
        </w:numPr>
        <w:spacing w:after="0" w:line="240" w:lineRule="auto"/>
        <w:ind w:left="364" w:hanging="392"/>
        <w:jc w:val="both"/>
      </w:pPr>
      <w:r w:rsidRPr="00B6463C">
        <w:t>Escritura de constitución y estatutos de la sociedad en que se invertirá, con su</w:t>
      </w:r>
      <w:r>
        <w:t>s modificaciones si las hubiere;</w:t>
      </w:r>
    </w:p>
    <w:p w:rsidR="00291AF1" w:rsidRDefault="00291AF1" w:rsidP="00291AF1">
      <w:pPr>
        <w:pStyle w:val="Prrafodelista"/>
        <w:spacing w:after="0" w:line="240" w:lineRule="auto"/>
        <w:ind w:left="364"/>
        <w:jc w:val="both"/>
      </w:pPr>
    </w:p>
    <w:p w:rsidR="00291AF1" w:rsidRDefault="00291AF1" w:rsidP="00291AF1">
      <w:pPr>
        <w:pStyle w:val="Prrafodelista"/>
        <w:numPr>
          <w:ilvl w:val="0"/>
          <w:numId w:val="20"/>
        </w:numPr>
        <w:spacing w:after="0" w:line="240" w:lineRule="auto"/>
        <w:ind w:left="364" w:hanging="392"/>
        <w:jc w:val="both"/>
      </w:pPr>
      <w:r w:rsidRPr="00B6463C">
        <w:t>Estudio de factibilidad económico financiero en el que se incluyan</w:t>
      </w:r>
      <w:r>
        <w:t xml:space="preserve">: </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L</w:t>
      </w:r>
      <w:r w:rsidRPr="00B6463C">
        <w:t xml:space="preserve">as bases financieras de las operaciones que se </w:t>
      </w:r>
      <w:r>
        <w:t>van a desarrollar;</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Los planes comerciales;</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S</w:t>
      </w:r>
      <w:r w:rsidRPr="00B6463C">
        <w:t>egm</w:t>
      </w:r>
      <w:r>
        <w:t>ento de mercado que se atenderá;</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Capital que se invertirá;</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C</w:t>
      </w:r>
      <w:r w:rsidRPr="00B6463C">
        <w:t>obertura de s</w:t>
      </w:r>
      <w:r>
        <w:t>ervicios que se proporcionarán;</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P</w:t>
      </w:r>
      <w:r w:rsidRPr="00B6463C">
        <w:t xml:space="preserve">royecciones financieras de por lo menos </w:t>
      </w:r>
      <w:r>
        <w:t>tres años; y</w:t>
      </w:r>
    </w:p>
    <w:p w:rsidR="00291AF1" w:rsidRDefault="00291AF1" w:rsidP="00291AF1">
      <w:pPr>
        <w:pStyle w:val="Prrafodelista"/>
        <w:spacing w:after="0" w:line="240" w:lineRule="auto"/>
        <w:jc w:val="both"/>
      </w:pPr>
    </w:p>
    <w:p w:rsidR="00291AF1" w:rsidRDefault="00291AF1" w:rsidP="00291AF1">
      <w:pPr>
        <w:pStyle w:val="Prrafodelista"/>
        <w:numPr>
          <w:ilvl w:val="1"/>
          <w:numId w:val="20"/>
        </w:numPr>
        <w:spacing w:after="0" w:line="240" w:lineRule="auto"/>
        <w:jc w:val="both"/>
      </w:pPr>
      <w:r>
        <w:t>E</w:t>
      </w:r>
      <w:r w:rsidRPr="00B6463C">
        <w:t>squema de organización y administración de entidad</w:t>
      </w:r>
      <w:r>
        <w:t>.</w:t>
      </w:r>
    </w:p>
    <w:p w:rsidR="00291AF1" w:rsidRDefault="00291AF1" w:rsidP="00291AF1">
      <w:pPr>
        <w:pStyle w:val="Prrafodelista"/>
      </w:pPr>
    </w:p>
    <w:p w:rsidR="00291AF1" w:rsidRDefault="00291AF1" w:rsidP="00291AF1">
      <w:pPr>
        <w:pStyle w:val="Prrafodelista"/>
        <w:numPr>
          <w:ilvl w:val="0"/>
          <w:numId w:val="20"/>
        </w:numPr>
        <w:spacing w:after="0" w:line="240" w:lineRule="auto"/>
        <w:ind w:left="364" w:hanging="392"/>
        <w:jc w:val="both"/>
      </w:pPr>
      <w:r w:rsidRPr="00B6463C">
        <w:t>El estudio de factibilidad económico financiero deberá ser elaborado por un profesional de amplia experiencia en la formulación y evaluación de proyectos o por una empresa respaldada por profesionales d</w:t>
      </w:r>
      <w:r>
        <w:t>e esa categoría;</w:t>
      </w:r>
    </w:p>
    <w:p w:rsidR="00291AF1" w:rsidRPr="00B6463C"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Listado de los actuales accionistas de la sociedad con su participación accionaria y su vinculación con el banco.  Antes y después de la adquisición;</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lastRenderedPageBreak/>
        <w:t xml:space="preserve">Cuando se trate de inversiones por más del cincuenta por ciento en acciones comunes de la sociedad: </w:t>
      </w:r>
    </w:p>
    <w:p w:rsidR="00291AF1" w:rsidRPr="00555371" w:rsidRDefault="00291AF1" w:rsidP="00291AF1">
      <w:pPr>
        <w:pStyle w:val="Prrafodelista"/>
        <w:spacing w:after="0" w:line="240" w:lineRule="auto"/>
      </w:pPr>
    </w:p>
    <w:p w:rsidR="00291AF1" w:rsidRPr="00555371" w:rsidRDefault="00291AF1" w:rsidP="00291AF1">
      <w:pPr>
        <w:pStyle w:val="Prrafodelista"/>
        <w:numPr>
          <w:ilvl w:val="1"/>
          <w:numId w:val="20"/>
        </w:numPr>
        <w:spacing w:after="0" w:line="240" w:lineRule="auto"/>
        <w:jc w:val="both"/>
      </w:pPr>
      <w:r w:rsidRPr="00555371">
        <w:t>La forma en que el banco prevé dirigir y controlar la gestión de la sociedad;</w:t>
      </w:r>
    </w:p>
    <w:p w:rsidR="00291AF1" w:rsidRPr="00555371" w:rsidRDefault="00291AF1" w:rsidP="00291AF1">
      <w:pPr>
        <w:pStyle w:val="Prrafodelista"/>
        <w:spacing w:after="0" w:line="240" w:lineRule="auto"/>
        <w:jc w:val="both"/>
      </w:pPr>
    </w:p>
    <w:p w:rsidR="00291AF1" w:rsidRPr="00555371" w:rsidRDefault="00291AF1" w:rsidP="00291AF1">
      <w:pPr>
        <w:pStyle w:val="Prrafodelista"/>
        <w:numPr>
          <w:ilvl w:val="1"/>
          <w:numId w:val="20"/>
        </w:numPr>
        <w:spacing w:after="0" w:line="240" w:lineRule="auto"/>
        <w:jc w:val="both"/>
      </w:pPr>
      <w:r w:rsidRPr="00555371">
        <w:t>Proceso para la fijación de políticas y manejo de riesgos;</w:t>
      </w:r>
    </w:p>
    <w:p w:rsidR="00291AF1" w:rsidRPr="00555371" w:rsidRDefault="00291AF1" w:rsidP="00291AF1">
      <w:pPr>
        <w:pStyle w:val="Prrafodelista"/>
        <w:spacing w:after="0" w:line="240" w:lineRule="auto"/>
        <w:jc w:val="both"/>
      </w:pPr>
    </w:p>
    <w:p w:rsidR="00291AF1" w:rsidRPr="00555371" w:rsidRDefault="00291AF1" w:rsidP="00291AF1">
      <w:pPr>
        <w:pStyle w:val="Prrafodelista"/>
        <w:numPr>
          <w:ilvl w:val="1"/>
          <w:numId w:val="20"/>
        </w:numPr>
        <w:spacing w:after="0" w:line="240" w:lineRule="auto"/>
        <w:jc w:val="both"/>
      </w:pPr>
      <w:r w:rsidRPr="00555371">
        <w:t>Grado de autonomía;</w:t>
      </w:r>
    </w:p>
    <w:p w:rsidR="00291AF1" w:rsidRPr="00555371" w:rsidRDefault="00291AF1" w:rsidP="00291AF1">
      <w:pPr>
        <w:pStyle w:val="Prrafodelista"/>
        <w:spacing w:after="0" w:line="240" w:lineRule="auto"/>
        <w:jc w:val="both"/>
      </w:pPr>
    </w:p>
    <w:p w:rsidR="00291AF1" w:rsidRPr="00555371" w:rsidRDefault="00291AF1" w:rsidP="00291AF1">
      <w:pPr>
        <w:pStyle w:val="Prrafodelista"/>
        <w:numPr>
          <w:ilvl w:val="1"/>
          <w:numId w:val="20"/>
        </w:numPr>
        <w:spacing w:after="0" w:line="240" w:lineRule="auto"/>
        <w:jc w:val="both"/>
      </w:pPr>
      <w:r w:rsidRPr="00555371">
        <w:t xml:space="preserve">Sistemas de control interno; </w:t>
      </w:r>
    </w:p>
    <w:p w:rsidR="00291AF1" w:rsidRPr="00555371" w:rsidRDefault="00291AF1" w:rsidP="00291AF1">
      <w:pPr>
        <w:pStyle w:val="Prrafodelista"/>
        <w:spacing w:after="0" w:line="240" w:lineRule="auto"/>
        <w:jc w:val="both"/>
      </w:pPr>
    </w:p>
    <w:p w:rsidR="00291AF1" w:rsidRPr="00555371" w:rsidRDefault="00291AF1" w:rsidP="00291AF1">
      <w:pPr>
        <w:pStyle w:val="Prrafodelista"/>
        <w:numPr>
          <w:ilvl w:val="1"/>
          <w:numId w:val="20"/>
        </w:numPr>
        <w:spacing w:after="0" w:line="240" w:lineRule="auto"/>
        <w:jc w:val="both"/>
      </w:pPr>
      <w:r w:rsidRPr="00555371">
        <w:t xml:space="preserve">Sistema de Información previstos; y </w:t>
      </w:r>
    </w:p>
    <w:p w:rsidR="00291AF1" w:rsidRPr="00555371" w:rsidRDefault="00291AF1" w:rsidP="00291AF1">
      <w:pPr>
        <w:pStyle w:val="Prrafodelista"/>
        <w:spacing w:after="0" w:line="240" w:lineRule="auto"/>
        <w:jc w:val="both"/>
      </w:pPr>
    </w:p>
    <w:p w:rsidR="00291AF1" w:rsidRPr="00555371" w:rsidRDefault="00291AF1" w:rsidP="00291AF1">
      <w:pPr>
        <w:pStyle w:val="Prrafodelista"/>
        <w:numPr>
          <w:ilvl w:val="1"/>
          <w:numId w:val="20"/>
        </w:numPr>
        <w:spacing w:after="0" w:line="240" w:lineRule="auto"/>
        <w:jc w:val="both"/>
      </w:pPr>
      <w:r w:rsidRPr="00555371">
        <w:t xml:space="preserve">Sistemas de monitoreo relacionados con la Prevención de Lavado de Dinero y  otros activos.   </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Cuando se trate de inversiones minoritarias deberá expresarse los propósitos para invertir en una sociedad que no controlará;</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Currículum vitae de los futuros  ejecutivos de más alto nivel de la subsidiaria, entendiéndose como tales, el  gerente general y los gerentes o subgerentes de áreas o, en todo caso, los que desempeñen  cargos  equivalentes a los mencionados;</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Efecto en el patrimonio del banco de la inversión a realizar, tanto en forma  individual  como consolidada, de conformidad con la Ley de Bancos;</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Estados financieros auditados de los tres últimos años con los informes del auditor externo; y</w:t>
      </w:r>
    </w:p>
    <w:p w:rsidR="00291AF1" w:rsidRPr="00555371" w:rsidRDefault="00291AF1" w:rsidP="00291AF1">
      <w:pPr>
        <w:pStyle w:val="Prrafodelista"/>
        <w:spacing w:after="0" w:line="240" w:lineRule="auto"/>
        <w:ind w:left="364"/>
        <w:jc w:val="both"/>
      </w:pPr>
    </w:p>
    <w:p w:rsidR="00291AF1" w:rsidRPr="00555371" w:rsidRDefault="00291AF1" w:rsidP="00291AF1">
      <w:pPr>
        <w:pStyle w:val="Prrafodelista"/>
        <w:numPr>
          <w:ilvl w:val="0"/>
          <w:numId w:val="20"/>
        </w:numPr>
        <w:spacing w:after="0" w:line="240" w:lineRule="auto"/>
        <w:ind w:left="364" w:hanging="392"/>
        <w:jc w:val="both"/>
      </w:pPr>
      <w:r w:rsidRPr="00555371">
        <w:t>Precio ofertado de las acciones y los posibles vendedores.</w:t>
      </w:r>
    </w:p>
    <w:p w:rsidR="00291AF1" w:rsidRPr="00555371" w:rsidRDefault="00291AF1" w:rsidP="00291AF1">
      <w:pPr>
        <w:pStyle w:val="Prrafodelista"/>
        <w:spacing w:after="0" w:line="240" w:lineRule="auto"/>
        <w:ind w:left="0"/>
        <w:jc w:val="both"/>
      </w:pPr>
    </w:p>
    <w:p w:rsidR="00291AF1" w:rsidRPr="00555371" w:rsidRDefault="00291AF1" w:rsidP="00291AF1">
      <w:pPr>
        <w:pStyle w:val="Prrafodelista"/>
        <w:spacing w:after="0" w:line="240" w:lineRule="auto"/>
        <w:ind w:left="0"/>
        <w:jc w:val="both"/>
      </w:pPr>
      <w:r w:rsidRPr="00555371">
        <w:t>Las sociedades de ahorro y crédito no podrán tener subsidiarias en el extranjero.</w:t>
      </w:r>
    </w:p>
    <w:p w:rsidR="00291AF1" w:rsidRDefault="00291AF1" w:rsidP="00291AF1">
      <w:pPr>
        <w:pStyle w:val="Sangradetextonormal"/>
        <w:spacing w:after="0"/>
        <w:rPr>
          <w:rFonts w:asciiTheme="minorHAnsi" w:hAnsiTheme="minorHAnsi"/>
          <w:sz w:val="22"/>
          <w:szCs w:val="22"/>
          <w:lang w:val="es-ES"/>
        </w:rPr>
      </w:pPr>
    </w:p>
    <w:p w:rsidR="00291AF1" w:rsidRPr="00555371" w:rsidRDefault="00291AF1" w:rsidP="00291AF1">
      <w:pPr>
        <w:pStyle w:val="Prrafodelista"/>
        <w:numPr>
          <w:ilvl w:val="0"/>
          <w:numId w:val="14"/>
        </w:numPr>
        <w:spacing w:after="0" w:line="240" w:lineRule="auto"/>
        <w:ind w:left="567" w:hanging="567"/>
        <w:jc w:val="both"/>
        <w:rPr>
          <w:b/>
          <w:bCs/>
          <w:iCs/>
        </w:rPr>
      </w:pPr>
      <w:r w:rsidRPr="00555371">
        <w:rPr>
          <w:b/>
          <w:bCs/>
          <w:iCs/>
        </w:rPr>
        <w:t>BANCOS COOPERATIVOS</w:t>
      </w:r>
    </w:p>
    <w:p w:rsidR="00291AF1" w:rsidRPr="00555371" w:rsidRDefault="00291AF1" w:rsidP="00291AF1">
      <w:pPr>
        <w:spacing w:after="0" w:line="240" w:lineRule="auto"/>
        <w:jc w:val="both"/>
        <w:rPr>
          <w:b/>
          <w:bCs/>
          <w:iCs/>
          <w:u w:val="single"/>
        </w:rPr>
      </w:pPr>
    </w:p>
    <w:p w:rsidR="00291AF1" w:rsidRDefault="00291AF1" w:rsidP="00291AF1">
      <w:pPr>
        <w:pStyle w:val="Prrafodelista"/>
        <w:numPr>
          <w:ilvl w:val="0"/>
          <w:numId w:val="21"/>
        </w:numPr>
        <w:spacing w:after="0" w:line="240" w:lineRule="auto"/>
        <w:jc w:val="both"/>
        <w:rPr>
          <w:iCs/>
        </w:rPr>
      </w:pPr>
      <w:r w:rsidRPr="00555371">
        <w:rPr>
          <w:iCs/>
        </w:rPr>
        <w:t>Solicitud de autorización expresa dirigida al Superintendente del Sistema Financiero, suscrita por el Presidente o Representante Legal de la Entidad, la que deberá mencionar:</w:t>
      </w:r>
    </w:p>
    <w:p w:rsidR="00291AF1" w:rsidRDefault="00291AF1" w:rsidP="00291AF1">
      <w:pPr>
        <w:pStyle w:val="Prrafodelista"/>
        <w:spacing w:after="0" w:line="240" w:lineRule="auto"/>
        <w:ind w:left="360"/>
        <w:jc w:val="both"/>
        <w:rPr>
          <w:iCs/>
        </w:rPr>
      </w:pPr>
    </w:p>
    <w:p w:rsidR="00291AF1" w:rsidRPr="006B08B1" w:rsidRDefault="00291AF1" w:rsidP="00291AF1">
      <w:pPr>
        <w:pStyle w:val="Prrafodelista"/>
        <w:numPr>
          <w:ilvl w:val="1"/>
          <w:numId w:val="22"/>
        </w:numPr>
        <w:spacing w:after="0" w:line="240" w:lineRule="auto"/>
        <w:jc w:val="both"/>
        <w:rPr>
          <w:iCs/>
        </w:rPr>
      </w:pPr>
      <w:r w:rsidRPr="006B08B1">
        <w:rPr>
          <w:iCs/>
        </w:rPr>
        <w:t>Nombre de la entidad en la que se  tiene interés de invertir, que deberá ser de las contempladas en el primer inciso del Art. 12 de la Ley de Bancos Cooperativos y Sociedades de Ahorro y Crédito;</w:t>
      </w:r>
      <w:r>
        <w:rPr>
          <w:iCs/>
        </w:rPr>
        <w:t xml:space="preserve"> y</w:t>
      </w:r>
    </w:p>
    <w:p w:rsidR="00291AF1" w:rsidRDefault="00291AF1" w:rsidP="00291AF1">
      <w:pPr>
        <w:pStyle w:val="Prrafodelista"/>
        <w:spacing w:after="0" w:line="240" w:lineRule="auto"/>
        <w:jc w:val="both"/>
        <w:rPr>
          <w:iCs/>
        </w:rPr>
      </w:pPr>
    </w:p>
    <w:p w:rsidR="00291AF1" w:rsidRPr="006B08B1" w:rsidRDefault="00291AF1" w:rsidP="00291AF1">
      <w:pPr>
        <w:pStyle w:val="Prrafodelista"/>
        <w:numPr>
          <w:ilvl w:val="1"/>
          <w:numId w:val="22"/>
        </w:numPr>
        <w:spacing w:after="0" w:line="240" w:lineRule="auto"/>
        <w:jc w:val="both"/>
        <w:rPr>
          <w:iCs/>
        </w:rPr>
      </w:pPr>
      <w:r w:rsidRPr="00555371">
        <w:rPr>
          <w:iCs/>
        </w:rPr>
        <w:t>El monto de la inversión.</w:t>
      </w:r>
    </w:p>
    <w:p w:rsidR="00291AF1" w:rsidRPr="00555371" w:rsidRDefault="00291AF1" w:rsidP="00291AF1">
      <w:pPr>
        <w:pStyle w:val="Sangradetextonormal"/>
        <w:spacing w:after="0"/>
        <w:rPr>
          <w:rFonts w:asciiTheme="minorHAnsi" w:hAnsiTheme="minorHAnsi"/>
          <w:sz w:val="22"/>
          <w:szCs w:val="22"/>
          <w:lang w:val="es-ES"/>
        </w:rPr>
      </w:pPr>
    </w:p>
    <w:p w:rsidR="00291AF1" w:rsidRDefault="00291AF1" w:rsidP="00291AF1">
      <w:pPr>
        <w:pStyle w:val="Prrafodelista"/>
        <w:numPr>
          <w:ilvl w:val="0"/>
          <w:numId w:val="21"/>
        </w:numPr>
        <w:spacing w:after="0" w:line="240" w:lineRule="auto"/>
        <w:jc w:val="both"/>
        <w:rPr>
          <w:iCs/>
        </w:rPr>
      </w:pPr>
      <w:r w:rsidRPr="00555371">
        <w:rPr>
          <w:iCs/>
        </w:rPr>
        <w:t>Certificación de acuerdos tomados por el Órgano Director en los que se acordó realizar la inversión conjunta y solicitar la autorización a la Superintendencia para efectuar dicha inversión, suscrita por su Secretario;</w:t>
      </w:r>
      <w:r>
        <w:rPr>
          <w:iCs/>
        </w:rPr>
        <w:t xml:space="preserve"> y</w:t>
      </w:r>
    </w:p>
    <w:p w:rsidR="00291AF1" w:rsidRPr="00555371" w:rsidRDefault="00291AF1" w:rsidP="00291AF1">
      <w:pPr>
        <w:pStyle w:val="Prrafodelista"/>
        <w:spacing w:after="0" w:line="240" w:lineRule="auto"/>
        <w:ind w:left="360"/>
        <w:jc w:val="both"/>
        <w:rPr>
          <w:iCs/>
        </w:rPr>
      </w:pPr>
    </w:p>
    <w:p w:rsidR="00291AF1" w:rsidRPr="00555371" w:rsidRDefault="00291AF1" w:rsidP="00291AF1">
      <w:pPr>
        <w:pStyle w:val="Prrafodelista"/>
        <w:numPr>
          <w:ilvl w:val="0"/>
          <w:numId w:val="21"/>
        </w:numPr>
        <w:spacing w:after="0" w:line="240" w:lineRule="auto"/>
        <w:jc w:val="both"/>
        <w:rPr>
          <w:iCs/>
        </w:rPr>
      </w:pPr>
      <w:r w:rsidRPr="00555371">
        <w:rPr>
          <w:iCs/>
        </w:rPr>
        <w:lastRenderedPageBreak/>
        <w:t>Análisis Financiero  efectuado en el que se determine que el total en inversiones a realizar no excede del límite del 15% sobre el fondo patrimonial, así como el impacto que la inversión tendrá en el fondo patr</w:t>
      </w:r>
      <w:r>
        <w:rPr>
          <w:iCs/>
        </w:rPr>
        <w:t>imonial e índices financieros.</w:t>
      </w:r>
    </w:p>
    <w:p w:rsidR="00291AF1" w:rsidRPr="00555371" w:rsidRDefault="00291AF1" w:rsidP="00291AF1">
      <w:pPr>
        <w:pStyle w:val="Prrafodelista"/>
        <w:spacing w:after="0" w:line="240" w:lineRule="auto"/>
        <w:ind w:left="357"/>
        <w:jc w:val="both"/>
        <w:rPr>
          <w:iCs/>
        </w:rPr>
      </w:pPr>
    </w:p>
    <w:p w:rsidR="00291AF1" w:rsidRPr="00555371" w:rsidRDefault="00291AF1" w:rsidP="00291AF1">
      <w:pPr>
        <w:pStyle w:val="Prrafodelista"/>
        <w:spacing w:after="0" w:line="240" w:lineRule="auto"/>
        <w:ind w:left="357"/>
        <w:jc w:val="both"/>
        <w:rPr>
          <w:iCs/>
        </w:rPr>
      </w:pPr>
      <w:r w:rsidRPr="00555371">
        <w:rPr>
          <w:iCs/>
        </w:rPr>
        <w:t>En el caso que el Pacto Social de la solicitante no contemple dentro de sus operaciones las inversiones conjuntas, deberá llevar a cabo previamente el trámite de modificación de pacto social (o Estatutos), conforme lo requerido por la Ley de Bancos Cooperativos y Sociedades de Ahorro y Crédito.</w:t>
      </w:r>
    </w:p>
    <w:p w:rsidR="00291AF1" w:rsidRPr="00291AF1" w:rsidRDefault="00291AF1" w:rsidP="00C538DA">
      <w:pPr>
        <w:tabs>
          <w:tab w:val="left" w:pos="960"/>
        </w:tabs>
      </w:pPr>
    </w:p>
    <w:sectPr w:rsidR="00291AF1" w:rsidRPr="00291AF1" w:rsidSect="008D23D1">
      <w:headerReference w:type="default" r:id="rId12"/>
      <w:footerReference w:type="default" r:id="rId13"/>
      <w:pgSz w:w="11906" w:h="16838"/>
      <w:pgMar w:top="2127" w:right="1701" w:bottom="1247" w:left="1701" w:header="851" w:footer="6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030" w:rsidRDefault="00BD3030" w:rsidP="00BB082E">
      <w:pPr>
        <w:spacing w:after="0" w:line="240" w:lineRule="auto"/>
      </w:pPr>
      <w:r>
        <w:separator/>
      </w:r>
    </w:p>
  </w:endnote>
  <w:endnote w:type="continuationSeparator" w:id="0">
    <w:p w:rsidR="00BD3030" w:rsidRDefault="00BD3030"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9908"/>
      <w:docPartObj>
        <w:docPartGallery w:val="Page Numbers (Bottom of Page)"/>
        <w:docPartUnique/>
      </w:docPartObj>
    </w:sdtPr>
    <w:sdtContent>
      <w:p w:rsidR="00F44953" w:rsidRDefault="00564A30" w:rsidP="008D128F">
        <w:pPr>
          <w:pStyle w:val="Piedepgina"/>
          <w:jc w:val="right"/>
        </w:pPr>
        <w:fldSimple w:instr=" PAGE   \* MERGEFORMAT ">
          <w:r w:rsidR="008D23D1">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030" w:rsidRDefault="00BD3030" w:rsidP="00BB082E">
      <w:pPr>
        <w:spacing w:after="0" w:line="240" w:lineRule="auto"/>
      </w:pPr>
      <w:r>
        <w:separator/>
      </w:r>
    </w:p>
  </w:footnote>
  <w:footnote w:type="continuationSeparator" w:id="0">
    <w:p w:rsidR="00BD3030" w:rsidRDefault="00BD3030"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53" w:rsidRPr="00A008DB" w:rsidRDefault="00F44953">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-200025</wp:posOffset>
          </wp:positionV>
          <wp:extent cx="3098165" cy="732790"/>
          <wp:effectExtent l="19050" t="0" r="6985"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8165" cy="732790"/>
                  </a:xfrm>
                  <a:prstGeom prst="rect">
                    <a:avLst/>
                  </a:prstGeom>
                  <a:noFill/>
                  <a:ln w="9525">
                    <a:noFill/>
                    <a:miter lim="800000"/>
                    <a:headEnd/>
                    <a:tailEnd/>
                  </a:ln>
                </pic:spPr>
              </pic:pic>
            </a:graphicData>
          </a:graphic>
        </wp:anchor>
      </w:drawing>
    </w:r>
    <w:r w:rsidR="00A008DB" w:rsidRPr="00A008DB">
      <w:rPr>
        <w:b/>
        <w:sz w:val="24"/>
      </w:rPr>
      <w:t>BCF-0</w:t>
    </w:r>
    <w:r w:rsidR="003A4794">
      <w:rPr>
        <w:b/>
        <w:sz w:val="24"/>
      </w:rPr>
      <w:t>1</w:t>
    </w:r>
    <w:r w:rsidR="00291AF1">
      <w:rPr>
        <w:b/>
        <w:sz w:val="24"/>
      </w:rPr>
      <w:t>1</w:t>
    </w:r>
  </w:p>
  <w:p w:rsidR="003A4794" w:rsidRDefault="00A008DB">
    <w:pPr>
      <w:pStyle w:val="Encabezado"/>
      <w:rPr>
        <w:b/>
        <w:sz w:val="24"/>
      </w:rPr>
    </w:pPr>
    <w:r w:rsidRPr="00A008DB">
      <w:rPr>
        <w:b/>
        <w:sz w:val="24"/>
      </w:rPr>
      <w:t xml:space="preserve">Autorización de </w:t>
    </w:r>
    <w:r w:rsidR="00291AF1">
      <w:rPr>
        <w:b/>
        <w:sz w:val="24"/>
      </w:rPr>
      <w:t>inversiones conjuntas</w:t>
    </w:r>
    <w:r w:rsidR="003A4794">
      <w:rPr>
        <w:b/>
        <w:sz w:val="24"/>
      </w:rPr>
      <w:t xml:space="preserve"> </w:t>
    </w:r>
  </w:p>
  <w:p w:rsidR="00566082" w:rsidRPr="00A008DB" w:rsidRDefault="00566082">
    <w:pPr>
      <w:pStyle w:val="Encabezado"/>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660944"/>
    <w:multiLevelType w:val="multilevel"/>
    <w:tmpl w:val="258E037A"/>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6967328"/>
    <w:multiLevelType w:val="hybridMultilevel"/>
    <w:tmpl w:val="2040B2B6"/>
    <w:lvl w:ilvl="0" w:tplc="A21461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9C93FED"/>
    <w:multiLevelType w:val="hybridMultilevel"/>
    <w:tmpl w:val="9FE8038E"/>
    <w:lvl w:ilvl="0" w:tplc="440A0009">
      <w:start w:val="1"/>
      <w:numFmt w:val="bullet"/>
      <w:lvlText w:val=""/>
      <w:lvlJc w:val="left"/>
      <w:pPr>
        <w:ind w:left="12" w:hanging="360"/>
      </w:pPr>
      <w:rPr>
        <w:rFonts w:ascii="Wingdings" w:hAnsi="Wingdings" w:hint="default"/>
      </w:rPr>
    </w:lvl>
    <w:lvl w:ilvl="1" w:tplc="440A0003">
      <w:start w:val="1"/>
      <w:numFmt w:val="bullet"/>
      <w:lvlText w:val="o"/>
      <w:lvlJc w:val="left"/>
      <w:pPr>
        <w:ind w:left="732" w:hanging="360"/>
      </w:pPr>
      <w:rPr>
        <w:rFonts w:ascii="Courier New" w:hAnsi="Courier New" w:cs="Courier New" w:hint="default"/>
      </w:rPr>
    </w:lvl>
    <w:lvl w:ilvl="2" w:tplc="440A0005" w:tentative="1">
      <w:start w:val="1"/>
      <w:numFmt w:val="bullet"/>
      <w:lvlText w:val=""/>
      <w:lvlJc w:val="left"/>
      <w:pPr>
        <w:ind w:left="1452" w:hanging="360"/>
      </w:pPr>
      <w:rPr>
        <w:rFonts w:ascii="Wingdings" w:hAnsi="Wingdings" w:hint="default"/>
      </w:rPr>
    </w:lvl>
    <w:lvl w:ilvl="3" w:tplc="440A0001" w:tentative="1">
      <w:start w:val="1"/>
      <w:numFmt w:val="bullet"/>
      <w:lvlText w:val=""/>
      <w:lvlJc w:val="left"/>
      <w:pPr>
        <w:ind w:left="2172" w:hanging="360"/>
      </w:pPr>
      <w:rPr>
        <w:rFonts w:ascii="Symbol" w:hAnsi="Symbol" w:hint="default"/>
      </w:rPr>
    </w:lvl>
    <w:lvl w:ilvl="4" w:tplc="440A0003" w:tentative="1">
      <w:start w:val="1"/>
      <w:numFmt w:val="bullet"/>
      <w:lvlText w:val="o"/>
      <w:lvlJc w:val="left"/>
      <w:pPr>
        <w:ind w:left="2892" w:hanging="360"/>
      </w:pPr>
      <w:rPr>
        <w:rFonts w:ascii="Courier New" w:hAnsi="Courier New" w:cs="Courier New" w:hint="default"/>
      </w:rPr>
    </w:lvl>
    <w:lvl w:ilvl="5" w:tplc="440A0005" w:tentative="1">
      <w:start w:val="1"/>
      <w:numFmt w:val="bullet"/>
      <w:lvlText w:val=""/>
      <w:lvlJc w:val="left"/>
      <w:pPr>
        <w:ind w:left="3612" w:hanging="360"/>
      </w:pPr>
      <w:rPr>
        <w:rFonts w:ascii="Wingdings" w:hAnsi="Wingdings" w:hint="default"/>
      </w:rPr>
    </w:lvl>
    <w:lvl w:ilvl="6" w:tplc="440A0001" w:tentative="1">
      <w:start w:val="1"/>
      <w:numFmt w:val="bullet"/>
      <w:lvlText w:val=""/>
      <w:lvlJc w:val="left"/>
      <w:pPr>
        <w:ind w:left="4332" w:hanging="360"/>
      </w:pPr>
      <w:rPr>
        <w:rFonts w:ascii="Symbol" w:hAnsi="Symbol" w:hint="default"/>
      </w:rPr>
    </w:lvl>
    <w:lvl w:ilvl="7" w:tplc="440A0003" w:tentative="1">
      <w:start w:val="1"/>
      <w:numFmt w:val="bullet"/>
      <w:lvlText w:val="o"/>
      <w:lvlJc w:val="left"/>
      <w:pPr>
        <w:ind w:left="5052" w:hanging="360"/>
      </w:pPr>
      <w:rPr>
        <w:rFonts w:ascii="Courier New" w:hAnsi="Courier New" w:cs="Courier New" w:hint="default"/>
      </w:rPr>
    </w:lvl>
    <w:lvl w:ilvl="8" w:tplc="440A0005" w:tentative="1">
      <w:start w:val="1"/>
      <w:numFmt w:val="bullet"/>
      <w:lvlText w:val=""/>
      <w:lvlJc w:val="left"/>
      <w:pPr>
        <w:ind w:left="5772" w:hanging="360"/>
      </w:pPr>
      <w:rPr>
        <w:rFonts w:ascii="Wingdings" w:hAnsi="Wingdings" w:hint="default"/>
      </w:rPr>
    </w:lvl>
  </w:abstractNum>
  <w:abstractNum w:abstractNumId="8">
    <w:nsid w:val="2E4E2096"/>
    <w:multiLevelType w:val="multilevel"/>
    <w:tmpl w:val="971C8D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0E63035"/>
    <w:multiLevelType w:val="multilevel"/>
    <w:tmpl w:val="BA8AC2EA"/>
    <w:lvl w:ilvl="0">
      <w:start w:val="6"/>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5B0755"/>
    <w:multiLevelType w:val="multilevel"/>
    <w:tmpl w:val="FEAE2786"/>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5D503B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41A7D0B"/>
    <w:multiLevelType w:val="hybridMultilevel"/>
    <w:tmpl w:val="65560432"/>
    <w:lvl w:ilvl="0" w:tplc="2F1CC53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42B7089"/>
    <w:multiLevelType w:val="hybridMultilevel"/>
    <w:tmpl w:val="F6EAF1D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4681644"/>
    <w:multiLevelType w:val="multilevel"/>
    <w:tmpl w:val="C5E21010"/>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3250C4"/>
    <w:multiLevelType w:val="hybridMultilevel"/>
    <w:tmpl w:val="F4AC085E"/>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5"/>
  </w:num>
  <w:num w:numId="3">
    <w:abstractNumId w:val="17"/>
  </w:num>
  <w:num w:numId="4">
    <w:abstractNumId w:val="18"/>
  </w:num>
  <w:num w:numId="5">
    <w:abstractNumId w:val="4"/>
  </w:num>
  <w:num w:numId="6">
    <w:abstractNumId w:val="19"/>
  </w:num>
  <w:num w:numId="7">
    <w:abstractNumId w:val="6"/>
  </w:num>
  <w:num w:numId="8">
    <w:abstractNumId w:val="11"/>
  </w:num>
  <w:num w:numId="9">
    <w:abstractNumId w:val="9"/>
  </w:num>
  <w:num w:numId="10">
    <w:abstractNumId w:val="8"/>
  </w:num>
  <w:num w:numId="11">
    <w:abstractNumId w:val="20"/>
  </w:num>
  <w:num w:numId="12">
    <w:abstractNumId w:val="5"/>
  </w:num>
  <w:num w:numId="13">
    <w:abstractNumId w:val="14"/>
  </w:num>
  <w:num w:numId="14">
    <w:abstractNumId w:val="16"/>
  </w:num>
  <w:num w:numId="15">
    <w:abstractNumId w:val="0"/>
  </w:num>
  <w:num w:numId="16">
    <w:abstractNumId w:val="13"/>
  </w:num>
  <w:num w:numId="17">
    <w:abstractNumId w:val="3"/>
  </w:num>
  <w:num w:numId="18">
    <w:abstractNumId w:val="21"/>
  </w:num>
  <w:num w:numId="19">
    <w:abstractNumId w:val="12"/>
  </w:num>
  <w:num w:numId="20">
    <w:abstractNumId w:val="1"/>
  </w:num>
  <w:num w:numId="21">
    <w:abstractNumId w:val="10"/>
  </w:num>
  <w:num w:numId="2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2ADA"/>
    <w:rsid w:val="000B670C"/>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5B6A"/>
    <w:rsid w:val="001A3130"/>
    <w:rsid w:val="001A3B0C"/>
    <w:rsid w:val="001A3B7A"/>
    <w:rsid w:val="001A5BA2"/>
    <w:rsid w:val="001B61CD"/>
    <w:rsid w:val="001C5840"/>
    <w:rsid w:val="001D13F7"/>
    <w:rsid w:val="001D3DE3"/>
    <w:rsid w:val="001D48D8"/>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45848"/>
    <w:rsid w:val="002579B1"/>
    <w:rsid w:val="00262DE5"/>
    <w:rsid w:val="00264170"/>
    <w:rsid w:val="002711D2"/>
    <w:rsid w:val="00282EF5"/>
    <w:rsid w:val="002862BF"/>
    <w:rsid w:val="00291AF1"/>
    <w:rsid w:val="00295085"/>
    <w:rsid w:val="002A066D"/>
    <w:rsid w:val="002A19AB"/>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53FE"/>
    <w:rsid w:val="003408A2"/>
    <w:rsid w:val="00342518"/>
    <w:rsid w:val="003525C0"/>
    <w:rsid w:val="00352610"/>
    <w:rsid w:val="00354E60"/>
    <w:rsid w:val="00360981"/>
    <w:rsid w:val="00361840"/>
    <w:rsid w:val="0037628E"/>
    <w:rsid w:val="00386C1F"/>
    <w:rsid w:val="0039143C"/>
    <w:rsid w:val="003A4794"/>
    <w:rsid w:val="003B029D"/>
    <w:rsid w:val="003B5AB6"/>
    <w:rsid w:val="003B5AB8"/>
    <w:rsid w:val="003C2E89"/>
    <w:rsid w:val="003D2A9E"/>
    <w:rsid w:val="003D2B46"/>
    <w:rsid w:val="003E2A8B"/>
    <w:rsid w:val="003E49F4"/>
    <w:rsid w:val="003E7E44"/>
    <w:rsid w:val="003F3B05"/>
    <w:rsid w:val="003F4F15"/>
    <w:rsid w:val="004263E5"/>
    <w:rsid w:val="004358C3"/>
    <w:rsid w:val="00441BC4"/>
    <w:rsid w:val="00442FD5"/>
    <w:rsid w:val="004500B5"/>
    <w:rsid w:val="0046258C"/>
    <w:rsid w:val="00467F5B"/>
    <w:rsid w:val="00473730"/>
    <w:rsid w:val="00480E29"/>
    <w:rsid w:val="004864A9"/>
    <w:rsid w:val="00487F8D"/>
    <w:rsid w:val="00497400"/>
    <w:rsid w:val="004A2E25"/>
    <w:rsid w:val="004A432E"/>
    <w:rsid w:val="004B0E69"/>
    <w:rsid w:val="004B33BC"/>
    <w:rsid w:val="004C0A24"/>
    <w:rsid w:val="004C1C5D"/>
    <w:rsid w:val="004C4B2A"/>
    <w:rsid w:val="004C6627"/>
    <w:rsid w:val="004D2398"/>
    <w:rsid w:val="004D3402"/>
    <w:rsid w:val="004E14C1"/>
    <w:rsid w:val="004E2A39"/>
    <w:rsid w:val="004E411B"/>
    <w:rsid w:val="004E67EA"/>
    <w:rsid w:val="004E7CA8"/>
    <w:rsid w:val="004F388B"/>
    <w:rsid w:val="004F47AB"/>
    <w:rsid w:val="004F5534"/>
    <w:rsid w:val="004F721A"/>
    <w:rsid w:val="004F75F2"/>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509EA"/>
    <w:rsid w:val="00561EBC"/>
    <w:rsid w:val="005636B8"/>
    <w:rsid w:val="00564A30"/>
    <w:rsid w:val="00566082"/>
    <w:rsid w:val="005719A4"/>
    <w:rsid w:val="005729E4"/>
    <w:rsid w:val="00576488"/>
    <w:rsid w:val="005813EB"/>
    <w:rsid w:val="005827D0"/>
    <w:rsid w:val="00586589"/>
    <w:rsid w:val="00591F64"/>
    <w:rsid w:val="00596B36"/>
    <w:rsid w:val="005A1212"/>
    <w:rsid w:val="005A2780"/>
    <w:rsid w:val="005A719C"/>
    <w:rsid w:val="005B0A49"/>
    <w:rsid w:val="005B7493"/>
    <w:rsid w:val="005C6990"/>
    <w:rsid w:val="005E25D5"/>
    <w:rsid w:val="005E584E"/>
    <w:rsid w:val="005E6C35"/>
    <w:rsid w:val="005E7D68"/>
    <w:rsid w:val="005F437E"/>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C067A"/>
    <w:rsid w:val="006D1C9D"/>
    <w:rsid w:val="006E10E6"/>
    <w:rsid w:val="006E18B6"/>
    <w:rsid w:val="006E5864"/>
    <w:rsid w:val="006F5C2D"/>
    <w:rsid w:val="006F7897"/>
    <w:rsid w:val="0070441E"/>
    <w:rsid w:val="0070642A"/>
    <w:rsid w:val="00706A85"/>
    <w:rsid w:val="007177C6"/>
    <w:rsid w:val="00731C3C"/>
    <w:rsid w:val="00733741"/>
    <w:rsid w:val="00757242"/>
    <w:rsid w:val="0076170A"/>
    <w:rsid w:val="00772D8B"/>
    <w:rsid w:val="00775121"/>
    <w:rsid w:val="00776EAD"/>
    <w:rsid w:val="00782A94"/>
    <w:rsid w:val="00792AD9"/>
    <w:rsid w:val="00797AED"/>
    <w:rsid w:val="007A3274"/>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4FA9"/>
    <w:rsid w:val="00825EA6"/>
    <w:rsid w:val="00830F4A"/>
    <w:rsid w:val="00832A31"/>
    <w:rsid w:val="00844C05"/>
    <w:rsid w:val="008513DE"/>
    <w:rsid w:val="00855916"/>
    <w:rsid w:val="00867326"/>
    <w:rsid w:val="00883079"/>
    <w:rsid w:val="00897960"/>
    <w:rsid w:val="008A1B3B"/>
    <w:rsid w:val="008A53E1"/>
    <w:rsid w:val="008B0A22"/>
    <w:rsid w:val="008B4C7E"/>
    <w:rsid w:val="008B7FBD"/>
    <w:rsid w:val="008C38FB"/>
    <w:rsid w:val="008C79AA"/>
    <w:rsid w:val="008D128F"/>
    <w:rsid w:val="008D23D1"/>
    <w:rsid w:val="008D27AC"/>
    <w:rsid w:val="008D3A39"/>
    <w:rsid w:val="008D594E"/>
    <w:rsid w:val="008D71BD"/>
    <w:rsid w:val="008E7FAF"/>
    <w:rsid w:val="008F17C8"/>
    <w:rsid w:val="008F4D65"/>
    <w:rsid w:val="008F5A9B"/>
    <w:rsid w:val="008F751E"/>
    <w:rsid w:val="00901F8D"/>
    <w:rsid w:val="00904C5E"/>
    <w:rsid w:val="00907BA0"/>
    <w:rsid w:val="00910FA1"/>
    <w:rsid w:val="009134B5"/>
    <w:rsid w:val="00913850"/>
    <w:rsid w:val="009141F6"/>
    <w:rsid w:val="00925168"/>
    <w:rsid w:val="00933D1C"/>
    <w:rsid w:val="009345DF"/>
    <w:rsid w:val="00956A71"/>
    <w:rsid w:val="00957DF7"/>
    <w:rsid w:val="00961D69"/>
    <w:rsid w:val="00961E93"/>
    <w:rsid w:val="00967E59"/>
    <w:rsid w:val="009708FC"/>
    <w:rsid w:val="00974551"/>
    <w:rsid w:val="00997126"/>
    <w:rsid w:val="009A429C"/>
    <w:rsid w:val="009B6C3F"/>
    <w:rsid w:val="009B719C"/>
    <w:rsid w:val="009C0639"/>
    <w:rsid w:val="009D094D"/>
    <w:rsid w:val="009D3F32"/>
    <w:rsid w:val="009D634A"/>
    <w:rsid w:val="009E5035"/>
    <w:rsid w:val="009F041C"/>
    <w:rsid w:val="00A008DB"/>
    <w:rsid w:val="00A00B5A"/>
    <w:rsid w:val="00A017FE"/>
    <w:rsid w:val="00A357CB"/>
    <w:rsid w:val="00A50432"/>
    <w:rsid w:val="00A65C83"/>
    <w:rsid w:val="00A66019"/>
    <w:rsid w:val="00A6619E"/>
    <w:rsid w:val="00A97566"/>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A10F4"/>
    <w:rsid w:val="00BA42AE"/>
    <w:rsid w:val="00BA4E6F"/>
    <w:rsid w:val="00BA67E5"/>
    <w:rsid w:val="00BB056F"/>
    <w:rsid w:val="00BB082E"/>
    <w:rsid w:val="00BB715F"/>
    <w:rsid w:val="00BD209F"/>
    <w:rsid w:val="00BD3030"/>
    <w:rsid w:val="00BD31DA"/>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940D8"/>
    <w:rsid w:val="00CA03B4"/>
    <w:rsid w:val="00CA6ABC"/>
    <w:rsid w:val="00CB0271"/>
    <w:rsid w:val="00CB7D5F"/>
    <w:rsid w:val="00CC0FF4"/>
    <w:rsid w:val="00CC2A1D"/>
    <w:rsid w:val="00CC7D8F"/>
    <w:rsid w:val="00CD6EF2"/>
    <w:rsid w:val="00CE101A"/>
    <w:rsid w:val="00CE7411"/>
    <w:rsid w:val="00CF5E66"/>
    <w:rsid w:val="00D0115D"/>
    <w:rsid w:val="00D03E56"/>
    <w:rsid w:val="00D06C0B"/>
    <w:rsid w:val="00D06D01"/>
    <w:rsid w:val="00D14293"/>
    <w:rsid w:val="00D26966"/>
    <w:rsid w:val="00D31FD3"/>
    <w:rsid w:val="00D32001"/>
    <w:rsid w:val="00D40621"/>
    <w:rsid w:val="00D54BFE"/>
    <w:rsid w:val="00D73932"/>
    <w:rsid w:val="00D759C7"/>
    <w:rsid w:val="00D815AC"/>
    <w:rsid w:val="00D82C25"/>
    <w:rsid w:val="00D83264"/>
    <w:rsid w:val="00D832F3"/>
    <w:rsid w:val="00D854ED"/>
    <w:rsid w:val="00D94A2B"/>
    <w:rsid w:val="00D97C52"/>
    <w:rsid w:val="00DA2889"/>
    <w:rsid w:val="00DB5FF8"/>
    <w:rsid w:val="00DC1F8B"/>
    <w:rsid w:val="00DC4186"/>
    <w:rsid w:val="00DC7AA8"/>
    <w:rsid w:val="00DD004E"/>
    <w:rsid w:val="00DF30F6"/>
    <w:rsid w:val="00E02453"/>
    <w:rsid w:val="00E106CB"/>
    <w:rsid w:val="00E247E4"/>
    <w:rsid w:val="00E24B51"/>
    <w:rsid w:val="00E269C6"/>
    <w:rsid w:val="00E26E8D"/>
    <w:rsid w:val="00E313F9"/>
    <w:rsid w:val="00E35A74"/>
    <w:rsid w:val="00E47B3B"/>
    <w:rsid w:val="00E55DA7"/>
    <w:rsid w:val="00E631F6"/>
    <w:rsid w:val="00E6663F"/>
    <w:rsid w:val="00E66C31"/>
    <w:rsid w:val="00E72CEC"/>
    <w:rsid w:val="00E77579"/>
    <w:rsid w:val="00E85F58"/>
    <w:rsid w:val="00E92686"/>
    <w:rsid w:val="00E9509F"/>
    <w:rsid w:val="00EA1BC4"/>
    <w:rsid w:val="00EA7010"/>
    <w:rsid w:val="00EA744A"/>
    <w:rsid w:val="00EB2835"/>
    <w:rsid w:val="00EB46C8"/>
    <w:rsid w:val="00EB7083"/>
    <w:rsid w:val="00EB7519"/>
    <w:rsid w:val="00EC0404"/>
    <w:rsid w:val="00EC0583"/>
    <w:rsid w:val="00EC6548"/>
    <w:rsid w:val="00ED6F24"/>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26B0C"/>
    <w:rsid w:val="00F32D17"/>
    <w:rsid w:val="00F34557"/>
    <w:rsid w:val="00F44953"/>
    <w:rsid w:val="00F46EB7"/>
    <w:rsid w:val="00F47E21"/>
    <w:rsid w:val="00F505F8"/>
    <w:rsid w:val="00F610C5"/>
    <w:rsid w:val="00F6186A"/>
    <w:rsid w:val="00F61BD7"/>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 w:type="paragraph" w:styleId="Sangradetextonormal">
    <w:name w:val="Body Text Indent"/>
    <w:basedOn w:val="Normal"/>
    <w:link w:val="SangradetextonormalCar"/>
    <w:rsid w:val="00291AF1"/>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291AF1"/>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011F6-CB60-4834-B780-8EC2DA61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Rosa María Martínez de Mena</cp:lastModifiedBy>
  <cp:revision>3</cp:revision>
  <cp:lastPrinted>2014-09-02T16:41:00Z</cp:lastPrinted>
  <dcterms:created xsi:type="dcterms:W3CDTF">2016-06-29T16:32:00Z</dcterms:created>
  <dcterms:modified xsi:type="dcterms:W3CDTF">2016-06-30T15:55:00Z</dcterms:modified>
</cp:coreProperties>
</file>