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A" w:rsidRDefault="005D171A" w:rsidP="005D171A">
      <w:pPr>
        <w:ind w:left="142"/>
      </w:pPr>
      <w:r w:rsidRPr="005D171A">
        <w:rPr>
          <w:noProof/>
          <w:lang w:val="es-SV" w:eastAsia="es-SV"/>
        </w:rPr>
        <w:drawing>
          <wp:anchor distT="0" distB="0" distL="114300" distR="114300" simplePos="0" relativeHeight="251657216" behindDoc="1" locked="0" layoutInCell="1" allowOverlap="1">
            <wp:simplePos x="0" y="0"/>
            <wp:positionH relativeFrom="column">
              <wp:posOffset>-9525</wp:posOffset>
            </wp:positionH>
            <wp:positionV relativeFrom="paragraph">
              <wp:posOffset>-201295</wp:posOffset>
            </wp:positionV>
            <wp:extent cx="6448425" cy="1514475"/>
            <wp:effectExtent l="19050" t="0" r="9525" b="0"/>
            <wp:wrapNone/>
            <wp:docPr id="3" name="0 Imagen" descr="boletinSSF_SW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_top.png"/>
                    <pic:cNvPicPr/>
                  </pic:nvPicPr>
                  <pic:blipFill>
                    <a:blip r:embed="rId8" cstate="print"/>
                    <a:stretch>
                      <a:fillRect/>
                    </a:stretch>
                  </pic:blipFill>
                  <pic:spPr>
                    <a:xfrm>
                      <a:off x="0" y="0"/>
                      <a:ext cx="6448425" cy="1514475"/>
                    </a:xfrm>
                    <a:prstGeom prst="rect">
                      <a:avLst/>
                    </a:prstGeom>
                  </pic:spPr>
                </pic:pic>
              </a:graphicData>
            </a:graphic>
          </wp:anchor>
        </w:drawing>
      </w:r>
    </w:p>
    <w:p w:rsidR="005D171A" w:rsidRDefault="005D171A" w:rsidP="005D171A">
      <w:pPr>
        <w:ind w:left="142"/>
      </w:pPr>
    </w:p>
    <w:p w:rsidR="005D171A" w:rsidRDefault="005D171A" w:rsidP="005D171A">
      <w:pPr>
        <w:ind w:left="142"/>
      </w:pPr>
    </w:p>
    <w:p w:rsidR="00980E53" w:rsidRPr="00980E53" w:rsidRDefault="00980E53" w:rsidP="00980E53">
      <w:pPr>
        <w:rPr>
          <w:b/>
        </w:rPr>
      </w:pPr>
      <w:r w:rsidRPr="00DE1111">
        <w:rPr>
          <w:b/>
        </w:rPr>
        <w:t xml:space="preserve">               </w:t>
      </w:r>
      <w:r w:rsidR="0003400C">
        <w:rPr>
          <w:b/>
        </w:rPr>
        <w:t xml:space="preserve">Noviembre </w:t>
      </w:r>
      <w:r w:rsidR="005D171A" w:rsidRPr="00980E53">
        <w:rPr>
          <w:b/>
          <w:sz w:val="24"/>
        </w:rPr>
        <w:t>201</w:t>
      </w:r>
      <w:r w:rsidR="002F0FAA">
        <w:rPr>
          <w:b/>
          <w:sz w:val="24"/>
        </w:rPr>
        <w:t>5</w:t>
      </w:r>
      <w:r w:rsidRPr="00980E53">
        <w:rPr>
          <w:b/>
          <w:sz w:val="24"/>
        </w:rPr>
        <w:t xml:space="preserve">                                      </w:t>
      </w:r>
    </w:p>
    <w:p w:rsidR="00E11372" w:rsidRDefault="00E11372" w:rsidP="00E11372">
      <w:pPr>
        <w:jc w:val="center"/>
        <w:rPr>
          <w:b/>
          <w:sz w:val="24"/>
        </w:rPr>
      </w:pPr>
    </w:p>
    <w:p w:rsidR="0003400C" w:rsidRPr="00E11372" w:rsidRDefault="0003400C" w:rsidP="00E11372">
      <w:pPr>
        <w:jc w:val="center"/>
        <w:rPr>
          <w:b/>
          <w:sz w:val="24"/>
        </w:rPr>
      </w:pPr>
      <w:r w:rsidRPr="00E11372">
        <w:rPr>
          <w:b/>
          <w:sz w:val="24"/>
        </w:rPr>
        <w:t>La inclusión financiera un beneficio para la población</w:t>
      </w:r>
    </w:p>
    <w:p w:rsidR="00E11372" w:rsidRDefault="00E11372" w:rsidP="0003400C">
      <w:pPr>
        <w:pStyle w:val="Prrafodelista"/>
        <w:ind w:left="48"/>
        <w:jc w:val="both"/>
        <w:rPr>
          <w:sz w:val="24"/>
          <w:szCs w:val="24"/>
          <w:lang w:val="es-ES_tradnl"/>
        </w:rPr>
      </w:pPr>
    </w:p>
    <w:p w:rsidR="0003400C" w:rsidRDefault="0003400C" w:rsidP="0003400C">
      <w:pPr>
        <w:pStyle w:val="Prrafodelista"/>
        <w:ind w:left="48"/>
        <w:jc w:val="both"/>
        <w:rPr>
          <w:sz w:val="24"/>
          <w:szCs w:val="24"/>
          <w:lang w:val="es-ES_tradnl"/>
        </w:rPr>
      </w:pPr>
      <w:r w:rsidRPr="000A51BC">
        <w:rPr>
          <w:sz w:val="24"/>
          <w:szCs w:val="24"/>
          <w:lang w:val="es-ES_tradnl"/>
        </w:rPr>
        <w:t xml:space="preserve">Recientemente la Asamblea Legislativa aprobó </w:t>
      </w:r>
      <w:r>
        <w:rPr>
          <w:sz w:val="24"/>
          <w:szCs w:val="24"/>
          <w:lang w:val="es-ES_tradnl"/>
        </w:rPr>
        <w:t>la “Ley para facilitar la inclusión financiera”, con la cual es posible p</w:t>
      </w:r>
      <w:r w:rsidRPr="000A51BC">
        <w:rPr>
          <w:sz w:val="24"/>
          <w:szCs w:val="24"/>
          <w:lang w:val="es-ES_tradnl"/>
        </w:rPr>
        <w:t>romover el acceso a más servicios financieros</w:t>
      </w:r>
      <w:r>
        <w:rPr>
          <w:sz w:val="24"/>
          <w:szCs w:val="24"/>
          <w:lang w:val="es-ES_tradnl"/>
        </w:rPr>
        <w:t xml:space="preserve"> en condiciones de mayor competencia, menores costos y bajo las regulaciones mínimas que garanticen las operaciones.</w:t>
      </w:r>
    </w:p>
    <w:p w:rsidR="0003400C" w:rsidRDefault="00E11372" w:rsidP="0003400C">
      <w:pPr>
        <w:pStyle w:val="Prrafodelista"/>
        <w:ind w:left="48"/>
        <w:jc w:val="both"/>
        <w:rPr>
          <w:sz w:val="24"/>
          <w:szCs w:val="24"/>
          <w:lang w:val="es-ES_tradnl"/>
        </w:rPr>
      </w:pPr>
      <w:r w:rsidRPr="00E11372">
        <w:rPr>
          <w:b/>
          <w:noProof/>
          <w:sz w:val="24"/>
          <w:szCs w:val="24"/>
          <w:lang w:val="es-ES_tradnl"/>
        </w:rPr>
        <w:pict>
          <v:shapetype id="_x0000_t202" coordsize="21600,21600" o:spt="202" path="m,l,21600r21600,l21600,xe">
            <v:stroke joinstyle="miter"/>
            <v:path gradientshapeok="t" o:connecttype="rect"/>
          </v:shapetype>
          <v:shape id="_x0000_s1026" type="#_x0000_t202" style="position:absolute;left:0;text-align:left;margin-left:458.9pt;margin-top:0;width:255.55pt;height:98.25pt;z-index:251660288;mso-position-horizontal:right;mso-position-horizontal-relative:margin;mso-position-vertical:center;mso-position-vertical-relative:margin;mso-width-relative:margin;mso-height-relative:margin" stroked="f">
            <v:textbox>
              <w:txbxContent>
                <w:p w:rsidR="00E11372" w:rsidRPr="00E11372" w:rsidRDefault="00E11372" w:rsidP="00E11372">
                  <w:pPr>
                    <w:pStyle w:val="Prrafodelista"/>
                    <w:shd w:val="clear" w:color="auto" w:fill="C6D9F1" w:themeFill="text2" w:themeFillTint="33"/>
                    <w:ind w:left="48"/>
                    <w:jc w:val="both"/>
                    <w:rPr>
                      <w:b/>
                      <w:sz w:val="24"/>
                      <w:szCs w:val="24"/>
                      <w:lang w:val="es-SV"/>
                    </w:rPr>
                  </w:pPr>
                  <w:r w:rsidRPr="00E11372">
                    <w:rPr>
                      <w:b/>
                      <w:bCs/>
                      <w:sz w:val="24"/>
                      <w:szCs w:val="24"/>
                      <w:lang w:val="es-ES_tradnl"/>
                    </w:rPr>
                    <w:t>Inclusión financiera es el acceso y uso de productos y servicios financieros formales en beneficio de toda la población, especialmente de aquellas que se encuentran financieramente excluidas</w:t>
                  </w:r>
                  <w:r w:rsidRPr="00E11372">
                    <w:rPr>
                      <w:b/>
                      <w:sz w:val="24"/>
                      <w:szCs w:val="24"/>
                      <w:lang w:val="es-SV"/>
                    </w:rPr>
                    <w:t xml:space="preserve"> </w:t>
                  </w:r>
                </w:p>
                <w:p w:rsidR="00E11372" w:rsidRPr="00E11372" w:rsidRDefault="00E11372">
                  <w:pPr>
                    <w:rPr>
                      <w:lang w:val="es-SV"/>
                    </w:rPr>
                  </w:pPr>
                </w:p>
              </w:txbxContent>
            </v:textbox>
            <w10:wrap type="square" anchorx="margin" anchory="margin"/>
          </v:shape>
        </w:pict>
      </w:r>
    </w:p>
    <w:p w:rsidR="0003400C" w:rsidRDefault="0003400C" w:rsidP="0003400C">
      <w:pPr>
        <w:pStyle w:val="Prrafodelista"/>
        <w:ind w:left="48"/>
        <w:jc w:val="both"/>
        <w:rPr>
          <w:rFonts w:cs="Arial"/>
          <w:sz w:val="24"/>
          <w:szCs w:val="24"/>
          <w:lang w:val="es-SV"/>
        </w:rPr>
      </w:pPr>
      <w:r w:rsidRPr="00CF3802">
        <w:rPr>
          <w:sz w:val="24"/>
          <w:szCs w:val="24"/>
          <w:lang w:val="es-SV"/>
        </w:rPr>
        <w:t xml:space="preserve">La ley regula el uso del dinero electrónico, </w:t>
      </w:r>
      <w:r>
        <w:rPr>
          <w:sz w:val="24"/>
          <w:szCs w:val="24"/>
          <w:lang w:val="es-SV"/>
        </w:rPr>
        <w:t xml:space="preserve">y a las </w:t>
      </w:r>
      <w:r w:rsidRPr="00CF3802">
        <w:rPr>
          <w:sz w:val="24"/>
          <w:szCs w:val="24"/>
          <w:lang w:val="es-SV"/>
        </w:rPr>
        <w:t xml:space="preserve">sociedades especializadas en proveer dinero electrónico, las </w:t>
      </w:r>
      <w:r>
        <w:rPr>
          <w:sz w:val="24"/>
          <w:szCs w:val="24"/>
          <w:lang w:val="es-SV"/>
        </w:rPr>
        <w:t xml:space="preserve">obligaciones, prohibiciones, restricciones y sanciones que éstos deberán cumplir. </w:t>
      </w:r>
      <w:r w:rsidRPr="00CF3802">
        <w:rPr>
          <w:sz w:val="24"/>
          <w:szCs w:val="24"/>
          <w:lang w:val="es-SV"/>
        </w:rPr>
        <w:t xml:space="preserve"> </w:t>
      </w:r>
      <w:r w:rsidRPr="00AA1E3D">
        <w:rPr>
          <w:rFonts w:cs="Arial"/>
          <w:sz w:val="24"/>
          <w:szCs w:val="24"/>
          <w:lang w:val="es-SV"/>
        </w:rPr>
        <w:t>Asimismo,</w:t>
      </w:r>
      <w:r>
        <w:rPr>
          <w:rFonts w:cs="Arial"/>
          <w:sz w:val="24"/>
          <w:szCs w:val="24"/>
          <w:lang w:val="es-SV"/>
        </w:rPr>
        <w:t xml:space="preserve"> regula</w:t>
      </w:r>
      <w:r w:rsidRPr="00AA1E3D">
        <w:rPr>
          <w:rFonts w:cs="Arial"/>
          <w:sz w:val="24"/>
          <w:szCs w:val="24"/>
          <w:lang w:val="es-SV"/>
        </w:rPr>
        <w:t xml:space="preserve"> </w:t>
      </w:r>
      <w:r>
        <w:rPr>
          <w:rFonts w:cs="Arial"/>
          <w:sz w:val="24"/>
          <w:szCs w:val="24"/>
          <w:lang w:val="es-SV"/>
        </w:rPr>
        <w:t xml:space="preserve">a los bancos, bancos cooperativos, y sociedades de ahorro y crédito que ofrecen </w:t>
      </w:r>
      <w:r w:rsidRPr="00AA1E3D">
        <w:rPr>
          <w:rFonts w:cs="Arial"/>
          <w:sz w:val="24"/>
          <w:szCs w:val="24"/>
          <w:lang w:val="es-SV"/>
        </w:rPr>
        <w:t>cuentas de ahorro con requisitos simplificados</w:t>
      </w:r>
      <w:r>
        <w:rPr>
          <w:rFonts w:cs="Arial"/>
          <w:sz w:val="24"/>
          <w:szCs w:val="24"/>
          <w:lang w:val="es-SV"/>
        </w:rPr>
        <w:t xml:space="preserve">, con las cuales </w:t>
      </w:r>
      <w:r w:rsidRPr="00AA1E3D">
        <w:rPr>
          <w:rFonts w:cs="Arial"/>
          <w:sz w:val="24"/>
          <w:szCs w:val="24"/>
          <w:lang w:val="es-SV"/>
        </w:rPr>
        <w:t>la población pued</w:t>
      </w:r>
      <w:r>
        <w:rPr>
          <w:rFonts w:cs="Arial"/>
          <w:sz w:val="24"/>
          <w:szCs w:val="24"/>
          <w:lang w:val="es-SV"/>
        </w:rPr>
        <w:t>e</w:t>
      </w:r>
      <w:r w:rsidRPr="00AA1E3D">
        <w:rPr>
          <w:rFonts w:cs="Arial"/>
          <w:sz w:val="24"/>
          <w:szCs w:val="24"/>
          <w:lang w:val="es-SV"/>
        </w:rPr>
        <w:t xml:space="preserve"> ser titular de una cuenta de uso exclusivo por medios</w:t>
      </w:r>
      <w:r>
        <w:rPr>
          <w:rFonts w:cs="Arial"/>
          <w:sz w:val="24"/>
          <w:szCs w:val="24"/>
          <w:lang w:val="es-SV"/>
        </w:rPr>
        <w:t xml:space="preserve"> electrónicos. </w:t>
      </w:r>
    </w:p>
    <w:p w:rsidR="0003400C" w:rsidRPr="00CF3802" w:rsidRDefault="0003400C" w:rsidP="0003400C">
      <w:pPr>
        <w:jc w:val="both"/>
        <w:rPr>
          <w:sz w:val="24"/>
          <w:szCs w:val="24"/>
        </w:rPr>
      </w:pPr>
      <w:r>
        <w:rPr>
          <w:sz w:val="24"/>
          <w:szCs w:val="24"/>
        </w:rPr>
        <w:t xml:space="preserve">Todas las operaciones </w:t>
      </w:r>
      <w:r w:rsidRPr="00CF3802">
        <w:rPr>
          <w:sz w:val="24"/>
          <w:szCs w:val="24"/>
        </w:rPr>
        <w:t>que se realicen con dinero electrónico, así como los participantes que provean dichos productos y servicios están bajo la supervisión de la Superintendencia del Sistema Financiero.</w:t>
      </w:r>
    </w:p>
    <w:p w:rsidR="0003400C" w:rsidRDefault="0003400C" w:rsidP="0003400C">
      <w:pPr>
        <w:pStyle w:val="Prrafodelista"/>
        <w:ind w:left="48"/>
        <w:jc w:val="both"/>
        <w:rPr>
          <w:rFonts w:cs="Arial"/>
          <w:sz w:val="24"/>
          <w:szCs w:val="24"/>
          <w:lang w:val="es-SV"/>
        </w:rPr>
      </w:pPr>
      <w:r>
        <w:rPr>
          <w:rFonts w:cs="Arial"/>
          <w:sz w:val="24"/>
          <w:szCs w:val="24"/>
          <w:lang w:val="es-SV"/>
        </w:rPr>
        <w:t xml:space="preserve">La Ley y la </w:t>
      </w:r>
      <w:r w:rsidRPr="00AA1E3D">
        <w:rPr>
          <w:rFonts w:cs="Arial"/>
          <w:sz w:val="24"/>
          <w:szCs w:val="24"/>
          <w:lang w:val="es-SV"/>
        </w:rPr>
        <w:t xml:space="preserve">regulación del dinero electrónico permitirá que las personas puedan efectuar transacciones </w:t>
      </w:r>
      <w:r>
        <w:rPr>
          <w:rFonts w:cs="Arial"/>
          <w:sz w:val="24"/>
          <w:szCs w:val="24"/>
          <w:lang w:val="es-SV"/>
        </w:rPr>
        <w:t xml:space="preserve">de forma segura, </w:t>
      </w:r>
      <w:r w:rsidRPr="00AA1E3D">
        <w:rPr>
          <w:rFonts w:cs="Arial"/>
          <w:sz w:val="24"/>
          <w:szCs w:val="24"/>
          <w:lang w:val="es-SV"/>
        </w:rPr>
        <w:t>sin incurrir en costos adicionales relacionados con su traslado</w:t>
      </w:r>
      <w:r>
        <w:rPr>
          <w:rFonts w:cs="Arial"/>
          <w:sz w:val="24"/>
          <w:szCs w:val="24"/>
          <w:lang w:val="es-SV"/>
        </w:rPr>
        <w:t xml:space="preserve"> o</w:t>
      </w:r>
      <w:r w:rsidRPr="00AA1E3D">
        <w:rPr>
          <w:rFonts w:cs="Arial"/>
          <w:sz w:val="24"/>
          <w:szCs w:val="24"/>
          <w:lang w:val="es-SV"/>
        </w:rPr>
        <w:t xml:space="preserve"> exponiéndose con la portación de dinero en efectivo. </w:t>
      </w:r>
    </w:p>
    <w:p w:rsidR="0003400C" w:rsidRDefault="0003400C" w:rsidP="0003400C">
      <w:pPr>
        <w:pStyle w:val="Prrafodelista"/>
        <w:ind w:left="48"/>
        <w:jc w:val="both"/>
        <w:rPr>
          <w:sz w:val="24"/>
          <w:szCs w:val="24"/>
          <w:lang w:val="es-ES_tradnl"/>
        </w:rPr>
      </w:pPr>
      <w:r w:rsidRPr="00AA1E3D">
        <w:rPr>
          <w:rFonts w:cs="Arial"/>
          <w:sz w:val="24"/>
          <w:szCs w:val="24"/>
          <w:lang w:val="es-SV"/>
        </w:rPr>
        <w:t xml:space="preserve"> </w:t>
      </w:r>
    </w:p>
    <w:p w:rsidR="0003400C" w:rsidRPr="00E11372" w:rsidRDefault="0003400C" w:rsidP="0003400C">
      <w:pPr>
        <w:pStyle w:val="Prrafodelista"/>
        <w:ind w:left="48"/>
        <w:jc w:val="both"/>
        <w:rPr>
          <w:rFonts w:cs="Arial"/>
          <w:sz w:val="24"/>
          <w:szCs w:val="24"/>
          <w:lang w:val="es-SV"/>
        </w:rPr>
      </w:pPr>
      <w:r w:rsidRPr="00E11372">
        <w:rPr>
          <w:rFonts w:cs="Arial"/>
          <w:sz w:val="24"/>
          <w:szCs w:val="24"/>
          <w:lang w:val="es-SV"/>
        </w:rPr>
        <w:t>Con la inclusión financiera es posible ampliar el acceso de los servicios financieros a más sectores que, a causa de la distancia de los lugares donde residen o por los bajos ingresos no contaban con ellos.</w:t>
      </w:r>
    </w:p>
    <w:p w:rsidR="0003400C" w:rsidRPr="00E11372" w:rsidRDefault="0003400C" w:rsidP="0003400C">
      <w:pPr>
        <w:pStyle w:val="Prrafodelista"/>
        <w:ind w:left="48"/>
        <w:jc w:val="both"/>
        <w:rPr>
          <w:rFonts w:cs="Arial"/>
          <w:sz w:val="24"/>
          <w:szCs w:val="24"/>
          <w:lang w:val="es-SV"/>
        </w:rPr>
      </w:pPr>
    </w:p>
    <w:p w:rsidR="0003400C" w:rsidRPr="00E11372" w:rsidRDefault="0003400C" w:rsidP="0003400C">
      <w:pPr>
        <w:pStyle w:val="Prrafodelista"/>
        <w:ind w:left="48"/>
        <w:jc w:val="both"/>
        <w:rPr>
          <w:rFonts w:cs="Arial"/>
          <w:sz w:val="24"/>
          <w:szCs w:val="24"/>
          <w:lang w:val="es-SV"/>
        </w:rPr>
      </w:pPr>
      <w:r w:rsidRPr="00E11372">
        <w:rPr>
          <w:rFonts w:cs="Arial"/>
          <w:sz w:val="24"/>
          <w:szCs w:val="24"/>
          <w:lang w:val="es-SV"/>
        </w:rPr>
        <w:t>Aunque existen diversos instrumentos de pago, considerados como tradicionales: tarjetas de débito, de crédito y cheques, la “Ley para facilitar la inclusión financiera” amplía la gama de instrumentos para realizar transacciones financieras utilizando dispositivos móviles, como un teléfono celular, para realizar transferencias de dinero u operaciones.</w:t>
      </w:r>
    </w:p>
    <w:p w:rsidR="0003400C" w:rsidRDefault="0003400C" w:rsidP="0003400C">
      <w:pPr>
        <w:pStyle w:val="Prrafodelista"/>
        <w:ind w:left="48"/>
        <w:jc w:val="both"/>
        <w:rPr>
          <w:rFonts w:cs="Arial"/>
          <w:sz w:val="24"/>
          <w:szCs w:val="24"/>
          <w:lang w:val="es-SV"/>
        </w:rPr>
      </w:pPr>
    </w:p>
    <w:p w:rsidR="0003400C" w:rsidRPr="00AA1E3D" w:rsidRDefault="0003400C" w:rsidP="0003400C">
      <w:pPr>
        <w:pStyle w:val="Prrafodelista"/>
        <w:ind w:left="48"/>
        <w:jc w:val="both"/>
        <w:rPr>
          <w:rFonts w:cs="Arial"/>
          <w:sz w:val="24"/>
          <w:szCs w:val="24"/>
          <w:lang w:val="es-SV"/>
        </w:rPr>
      </w:pPr>
      <w:r w:rsidRPr="00E11372">
        <w:rPr>
          <w:rFonts w:cs="Arial"/>
          <w:sz w:val="24"/>
          <w:szCs w:val="24"/>
          <w:lang w:val="es-SV"/>
        </w:rPr>
        <w:t xml:space="preserve">Finalmente, es importante resaltar que la nueva Ley busca proteger al consumidor financiero, para lo cual se encuentran claramente definidas las condiciones que deberán cumplirse para asegurar que en todo momento el cliente reciba lo acordado. Es importante informarse antes de comprar o contratar cualquier producto o servicio financiero, y ante un incumplimiento acuda a las Instituciones correspondientes, entre ellas la Superintendencia del Sistema Financiero. </w:t>
      </w:r>
    </w:p>
    <w:p w:rsidR="0003400C" w:rsidRPr="00AA1E3D" w:rsidRDefault="0003400C" w:rsidP="0003400C">
      <w:pPr>
        <w:pStyle w:val="Prrafodelista"/>
        <w:ind w:left="48"/>
        <w:jc w:val="both"/>
        <w:rPr>
          <w:rFonts w:cs="Arial"/>
          <w:sz w:val="24"/>
          <w:szCs w:val="24"/>
          <w:lang w:val="es-SV"/>
        </w:rPr>
      </w:pPr>
    </w:p>
    <w:p w:rsidR="0003400C" w:rsidRDefault="0003400C" w:rsidP="0003400C">
      <w:pPr>
        <w:pStyle w:val="Prrafodelista"/>
        <w:ind w:left="48"/>
        <w:jc w:val="both"/>
        <w:rPr>
          <w:sz w:val="24"/>
          <w:szCs w:val="24"/>
          <w:lang w:val="es-ES_tradnl"/>
        </w:rPr>
      </w:pPr>
    </w:p>
    <w:p w:rsidR="0003400C" w:rsidRDefault="0003400C" w:rsidP="0003400C">
      <w:pPr>
        <w:pStyle w:val="Prrafodelista"/>
        <w:ind w:left="48"/>
        <w:jc w:val="both"/>
        <w:rPr>
          <w:sz w:val="24"/>
          <w:szCs w:val="24"/>
          <w:lang w:val="es-ES_tradnl"/>
        </w:rPr>
      </w:pPr>
    </w:p>
    <w:p w:rsidR="0003400C" w:rsidRPr="0003400C" w:rsidRDefault="0003400C" w:rsidP="003D245B">
      <w:pPr>
        <w:jc w:val="center"/>
        <w:rPr>
          <w:b/>
          <w:sz w:val="24"/>
          <w:lang w:val="es-ES_tradnl"/>
        </w:rPr>
      </w:pPr>
    </w:p>
    <w:p w:rsidR="0003400C" w:rsidRDefault="0003400C" w:rsidP="003D245B">
      <w:pPr>
        <w:jc w:val="center"/>
        <w:rPr>
          <w:b/>
          <w:sz w:val="24"/>
        </w:rPr>
      </w:pPr>
    </w:p>
    <w:sectPr w:rsidR="0003400C" w:rsidSect="00980E53">
      <w:headerReference w:type="default" r:id="rId9"/>
      <w:footerReference w:type="default" r:id="rId10"/>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A3" w:rsidRDefault="00DE0BA3" w:rsidP="000A11D5">
      <w:pPr>
        <w:spacing w:after="0" w:line="240" w:lineRule="auto"/>
      </w:pPr>
      <w:r>
        <w:separator/>
      </w:r>
    </w:p>
  </w:endnote>
  <w:endnote w:type="continuationSeparator" w:id="0">
    <w:p w:rsidR="00DE0BA3" w:rsidRDefault="00DE0BA3" w:rsidP="000A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A3" w:rsidRDefault="00DE0BA3">
    <w:pPr>
      <w:pStyle w:val="Piedepgina"/>
    </w:pPr>
    <w:r>
      <w:rPr>
        <w:noProof/>
        <w:lang w:val="es-SV" w:eastAsia="es-SV"/>
      </w:rPr>
      <w:drawing>
        <wp:inline distT="0" distB="0" distL="0" distR="0">
          <wp:extent cx="6480810" cy="1043305"/>
          <wp:effectExtent l="19050" t="0" r="0" b="0"/>
          <wp:docPr id="4" name="3 Imagen" descr="boletinSSF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png"/>
                  <pic:cNvPicPr/>
                </pic:nvPicPr>
                <pic:blipFill>
                  <a:blip r:embed="rId1"/>
                  <a:stretch>
                    <a:fillRect/>
                  </a:stretch>
                </pic:blipFill>
                <pic:spPr>
                  <a:xfrm>
                    <a:off x="0" y="0"/>
                    <a:ext cx="6480810" cy="1043305"/>
                  </a:xfrm>
                  <a:prstGeom prst="rect">
                    <a:avLst/>
                  </a:prstGeom>
                </pic:spPr>
              </pic:pic>
            </a:graphicData>
          </a:graphic>
        </wp:inline>
      </w:drawing>
    </w:r>
  </w:p>
  <w:p w:rsidR="00DE0BA3" w:rsidRDefault="00DE0B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A3" w:rsidRDefault="00DE0BA3" w:rsidP="000A11D5">
      <w:pPr>
        <w:spacing w:after="0" w:line="240" w:lineRule="auto"/>
      </w:pPr>
      <w:r>
        <w:separator/>
      </w:r>
    </w:p>
  </w:footnote>
  <w:footnote w:type="continuationSeparator" w:id="0">
    <w:p w:rsidR="00DE0BA3" w:rsidRDefault="00DE0BA3" w:rsidP="000A1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A3" w:rsidRDefault="00DE0BA3" w:rsidP="000A11D5">
    <w:pPr>
      <w:pStyle w:val="Encabezado"/>
      <w:tabs>
        <w:tab w:val="clear" w:pos="8504"/>
        <w:tab w:val="right" w:pos="9498"/>
      </w:tabs>
      <w:ind w:left="-1276" w:righ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77B"/>
    <w:multiLevelType w:val="hybridMultilevel"/>
    <w:tmpl w:val="57C8FD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3F665E3"/>
    <w:multiLevelType w:val="hybridMultilevel"/>
    <w:tmpl w:val="292024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75C64C5"/>
    <w:multiLevelType w:val="hybridMultilevel"/>
    <w:tmpl w:val="5CA24C76"/>
    <w:lvl w:ilvl="0" w:tplc="A58209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731F8"/>
    <w:multiLevelType w:val="hybridMultilevel"/>
    <w:tmpl w:val="B7A24B1E"/>
    <w:lvl w:ilvl="0" w:tplc="F496D30A">
      <w:start w:val="1"/>
      <w:numFmt w:val="decimal"/>
      <w:lvlText w:val="%1."/>
      <w:lvlJc w:val="left"/>
      <w:pPr>
        <w:ind w:left="408"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4">
    <w:nsid w:val="2A5E1107"/>
    <w:multiLevelType w:val="hybridMultilevel"/>
    <w:tmpl w:val="EE9457C4"/>
    <w:lvl w:ilvl="0" w:tplc="4B36C85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DF6200"/>
    <w:multiLevelType w:val="hybridMultilevel"/>
    <w:tmpl w:val="D81E85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CCA6D7B"/>
    <w:multiLevelType w:val="hybridMultilevel"/>
    <w:tmpl w:val="97A8B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CD75E9F"/>
    <w:multiLevelType w:val="hybridMultilevel"/>
    <w:tmpl w:val="94723F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70624E7"/>
    <w:multiLevelType w:val="hybridMultilevel"/>
    <w:tmpl w:val="121063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3ACD7E13"/>
    <w:multiLevelType w:val="hybridMultilevel"/>
    <w:tmpl w:val="B4F48142"/>
    <w:lvl w:ilvl="0" w:tplc="E076904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AFB6409"/>
    <w:multiLevelType w:val="hybridMultilevel"/>
    <w:tmpl w:val="16BC92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3277734"/>
    <w:multiLevelType w:val="hybridMultilevel"/>
    <w:tmpl w:val="B76AEEFA"/>
    <w:lvl w:ilvl="0" w:tplc="758CD54E">
      <w:numFmt w:val="bullet"/>
      <w:lvlText w:val="-"/>
      <w:lvlJc w:val="left"/>
      <w:pPr>
        <w:ind w:left="720" w:hanging="360"/>
      </w:pPr>
      <w:rPr>
        <w:rFonts w:ascii="Calibri" w:eastAsiaTheme="minorHAnsi" w:hAnsi="Calibri" w:cstheme="minorBidi" w:hint="default"/>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E9851D5"/>
    <w:multiLevelType w:val="hybridMultilevel"/>
    <w:tmpl w:val="4976AB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F900C98"/>
    <w:multiLevelType w:val="hybridMultilevel"/>
    <w:tmpl w:val="B5A60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B4D654A"/>
    <w:multiLevelType w:val="hybridMultilevel"/>
    <w:tmpl w:val="43D228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40F723A"/>
    <w:multiLevelType w:val="hybridMultilevel"/>
    <w:tmpl w:val="E6088258"/>
    <w:lvl w:ilvl="0" w:tplc="440A0001">
      <w:start w:val="1"/>
      <w:numFmt w:val="bullet"/>
      <w:lvlText w:val=""/>
      <w:lvlJc w:val="left"/>
      <w:pPr>
        <w:ind w:left="768"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nsid w:val="689E43C1"/>
    <w:multiLevelType w:val="hybridMultilevel"/>
    <w:tmpl w:val="EA7AFA90"/>
    <w:lvl w:ilvl="0" w:tplc="A8203F62">
      <w:start w:val="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10"/>
  </w:num>
  <w:num w:numId="10">
    <w:abstractNumId w:val="1"/>
  </w:num>
  <w:num w:numId="11">
    <w:abstractNumId w:val="4"/>
  </w:num>
  <w:num w:numId="12">
    <w:abstractNumId w:val="12"/>
  </w:num>
  <w:num w:numId="13">
    <w:abstractNumId w:val="7"/>
  </w:num>
  <w:num w:numId="14">
    <w:abstractNumId w:val="11"/>
  </w:num>
  <w:num w:numId="15">
    <w:abstractNumId w:val="13"/>
  </w:num>
  <w:num w:numId="16">
    <w:abstractNumId w:val="9"/>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rsids>
    <w:rsidRoot w:val="000A11D5"/>
    <w:rsid w:val="0000538F"/>
    <w:rsid w:val="0003400C"/>
    <w:rsid w:val="000575F4"/>
    <w:rsid w:val="000A11D5"/>
    <w:rsid w:val="00114075"/>
    <w:rsid w:val="00157BE5"/>
    <w:rsid w:val="001C25F1"/>
    <w:rsid w:val="00207823"/>
    <w:rsid w:val="0021619F"/>
    <w:rsid w:val="00232E77"/>
    <w:rsid w:val="0023574E"/>
    <w:rsid w:val="00252C90"/>
    <w:rsid w:val="00272EB6"/>
    <w:rsid w:val="002F0FAA"/>
    <w:rsid w:val="00340AC6"/>
    <w:rsid w:val="00384280"/>
    <w:rsid w:val="003D245B"/>
    <w:rsid w:val="00400B3A"/>
    <w:rsid w:val="00411AB4"/>
    <w:rsid w:val="00427086"/>
    <w:rsid w:val="004402E8"/>
    <w:rsid w:val="00457C10"/>
    <w:rsid w:val="00484066"/>
    <w:rsid w:val="004C4631"/>
    <w:rsid w:val="0058242A"/>
    <w:rsid w:val="005B7567"/>
    <w:rsid w:val="005D171A"/>
    <w:rsid w:val="006B780A"/>
    <w:rsid w:val="006D4886"/>
    <w:rsid w:val="00751EF2"/>
    <w:rsid w:val="00755C61"/>
    <w:rsid w:val="007714FD"/>
    <w:rsid w:val="007D71E4"/>
    <w:rsid w:val="008111D0"/>
    <w:rsid w:val="008570FE"/>
    <w:rsid w:val="00914EF1"/>
    <w:rsid w:val="009168DA"/>
    <w:rsid w:val="00920210"/>
    <w:rsid w:val="00980E53"/>
    <w:rsid w:val="00A87941"/>
    <w:rsid w:val="00B62A7C"/>
    <w:rsid w:val="00B87813"/>
    <w:rsid w:val="00BC2AF9"/>
    <w:rsid w:val="00C00C66"/>
    <w:rsid w:val="00C16255"/>
    <w:rsid w:val="00C34F9A"/>
    <w:rsid w:val="00D43B8A"/>
    <w:rsid w:val="00DE0BA3"/>
    <w:rsid w:val="00DE1111"/>
    <w:rsid w:val="00DF4FFD"/>
    <w:rsid w:val="00E11372"/>
    <w:rsid w:val="00F3199A"/>
    <w:rsid w:val="00F66867"/>
    <w:rsid w:val="00F74F10"/>
    <w:rsid w:val="00F877C9"/>
    <w:rsid w:val="00FB5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1D5"/>
  </w:style>
  <w:style w:type="paragraph" w:styleId="Piedepgina">
    <w:name w:val="footer"/>
    <w:basedOn w:val="Normal"/>
    <w:link w:val="PiedepginaCar"/>
    <w:uiPriority w:val="99"/>
    <w:unhideWhenUsed/>
    <w:rsid w:val="000A1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1D5"/>
  </w:style>
  <w:style w:type="paragraph" w:styleId="Textodeglobo">
    <w:name w:val="Balloon Text"/>
    <w:basedOn w:val="Normal"/>
    <w:link w:val="TextodegloboCar"/>
    <w:uiPriority w:val="99"/>
    <w:semiHidden/>
    <w:unhideWhenUsed/>
    <w:rsid w:val="000A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D5"/>
    <w:rPr>
      <w:rFonts w:ascii="Tahoma" w:hAnsi="Tahoma" w:cs="Tahoma"/>
      <w:sz w:val="16"/>
      <w:szCs w:val="16"/>
    </w:rPr>
  </w:style>
  <w:style w:type="paragraph" w:styleId="Prrafodelista">
    <w:name w:val="List Paragraph"/>
    <w:basedOn w:val="Normal"/>
    <w:uiPriority w:val="34"/>
    <w:qFormat/>
    <w:rsid w:val="00751EF2"/>
    <w:pPr>
      <w:ind w:left="720"/>
      <w:contextualSpacing/>
    </w:pPr>
  </w:style>
  <w:style w:type="table" w:styleId="Tablaconcuadrcula">
    <w:name w:val="Table Grid"/>
    <w:basedOn w:val="Tablanormal"/>
    <w:uiPriority w:val="59"/>
    <w:rsid w:val="0044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3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01767">
      <w:bodyDiv w:val="1"/>
      <w:marLeft w:val="0"/>
      <w:marRight w:val="0"/>
      <w:marTop w:val="0"/>
      <w:marBottom w:val="0"/>
      <w:divBdr>
        <w:top w:val="none" w:sz="0" w:space="0" w:color="auto"/>
        <w:left w:val="none" w:sz="0" w:space="0" w:color="auto"/>
        <w:bottom w:val="none" w:sz="0" w:space="0" w:color="auto"/>
        <w:right w:val="none" w:sz="0" w:space="0" w:color="auto"/>
      </w:divBdr>
    </w:div>
    <w:div w:id="21370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ED1B5-593E-4559-A52A-46165791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ndselina</dc:creator>
  <cp:lastModifiedBy>spaarevalo</cp:lastModifiedBy>
  <cp:revision>2</cp:revision>
  <cp:lastPrinted>2016-01-06T16:01:00Z</cp:lastPrinted>
  <dcterms:created xsi:type="dcterms:W3CDTF">2016-01-06T16:12:00Z</dcterms:created>
  <dcterms:modified xsi:type="dcterms:W3CDTF">2016-01-06T16:12:00Z</dcterms:modified>
</cp:coreProperties>
</file>